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858A1" w14:textId="3227F7A1" w:rsidR="007604F2" w:rsidRPr="007604F2" w:rsidRDefault="007604F2" w:rsidP="003B5FF4">
      <w:pPr>
        <w:widowControl w:val="0"/>
        <w:tabs>
          <w:tab w:val="right" w:pos="8505"/>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sidR="005E5183">
        <w:rPr>
          <w:rFonts w:ascii="Arial" w:eastAsia="MS Mincho" w:hAnsi="Arial" w:cs="Arial"/>
          <w:b/>
          <w:bCs/>
          <w:noProof/>
          <w:sz w:val="24"/>
          <w:szCs w:val="24"/>
          <w:lang w:eastAsia="ja-JP"/>
        </w:rPr>
        <w:t>9</w:t>
      </w:r>
      <w:r w:rsidR="00BE4DCB">
        <w:rPr>
          <w:rFonts w:ascii="Arial" w:eastAsia="MS Mincho" w:hAnsi="Arial" w:cs="Arial"/>
          <w:b/>
          <w:bCs/>
          <w:noProof/>
          <w:sz w:val="24"/>
          <w:szCs w:val="24"/>
          <w:lang w:eastAsia="ja-JP"/>
        </w:rPr>
        <w:t>0</w:t>
      </w:r>
      <w:r>
        <w:rPr>
          <w:rFonts w:ascii="Arial" w:eastAsia="MS Mincho" w:hAnsi="Arial" w:cs="Arial"/>
          <w:b/>
          <w:bCs/>
          <w:noProof/>
          <w:sz w:val="24"/>
          <w:szCs w:val="24"/>
          <w:lang w:eastAsia="ja-JP"/>
        </w:rPr>
        <w:tab/>
      </w:r>
      <w:r w:rsidR="00A948B7">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007A682E" w:rsidRPr="007A682E">
        <w:rPr>
          <w:rFonts w:ascii="Arial" w:hAnsi="Arial" w:cs="Arial"/>
          <w:b/>
          <w:bCs/>
          <w:noProof/>
          <w:sz w:val="24"/>
          <w:szCs w:val="24"/>
        </w:rPr>
        <w:t>R1-</w:t>
      </w:r>
      <w:r w:rsidR="00A57E20" w:rsidRPr="008D6ABB">
        <w:rPr>
          <w:rFonts w:ascii="Arial" w:hAnsi="Arial" w:cs="Arial"/>
          <w:b/>
          <w:bCs/>
          <w:noProof/>
          <w:sz w:val="24"/>
          <w:szCs w:val="24"/>
        </w:rPr>
        <w:t>17</w:t>
      </w:r>
      <w:r w:rsidR="00A57E20" w:rsidRPr="009011AD">
        <w:rPr>
          <w:rFonts w:ascii="Arial" w:hAnsi="Arial" w:cs="Arial"/>
          <w:b/>
          <w:bCs/>
          <w:noProof/>
          <w:sz w:val="24"/>
          <w:szCs w:val="24"/>
        </w:rPr>
        <w:t>1</w:t>
      </w:r>
      <w:r w:rsidR="00A57E20">
        <w:rPr>
          <w:rFonts w:ascii="Arial" w:hAnsi="Arial" w:cs="Arial"/>
          <w:b/>
          <w:bCs/>
          <w:noProof/>
          <w:sz w:val="24"/>
          <w:szCs w:val="24"/>
        </w:rPr>
        <w:t>2656</w:t>
      </w:r>
    </w:p>
    <w:p w14:paraId="766D1BAF" w14:textId="139A2287" w:rsidR="007604F2" w:rsidRPr="007604F2" w:rsidRDefault="00BE4DCB" w:rsidP="003B5FF4">
      <w:pPr>
        <w:widowControl w:val="0"/>
        <w:tabs>
          <w:tab w:val="right" w:pos="7655"/>
          <w:tab w:val="right" w:pos="9781"/>
        </w:tabs>
        <w:spacing w:after="0"/>
        <w:ind w:right="-58"/>
        <w:rPr>
          <w:rFonts w:ascii="Arial" w:hAnsi="Arial" w:cs="Arial"/>
          <w:b/>
          <w:bCs/>
          <w:noProof/>
          <w:sz w:val="24"/>
          <w:szCs w:val="24"/>
        </w:rPr>
      </w:pPr>
      <w:r>
        <w:rPr>
          <w:rFonts w:ascii="Arial" w:hAnsi="Arial" w:cs="Arial"/>
          <w:b/>
          <w:bCs/>
          <w:noProof/>
          <w:sz w:val="24"/>
          <w:szCs w:val="24"/>
        </w:rPr>
        <w:t>Prague, Czech Republic</w:t>
      </w:r>
      <w:r w:rsidR="007604F2" w:rsidRPr="007604F2">
        <w:rPr>
          <w:rFonts w:ascii="Arial" w:hAnsi="Arial" w:cs="Arial"/>
          <w:b/>
          <w:bCs/>
          <w:noProof/>
          <w:sz w:val="24"/>
          <w:szCs w:val="24"/>
        </w:rPr>
        <w:t xml:space="preserve">, </w:t>
      </w:r>
      <w:r>
        <w:rPr>
          <w:rFonts w:ascii="Arial" w:hAnsi="Arial" w:cs="Arial"/>
          <w:b/>
          <w:bCs/>
          <w:noProof/>
          <w:sz w:val="24"/>
          <w:szCs w:val="24"/>
        </w:rPr>
        <w:t>21</w:t>
      </w:r>
      <w:r w:rsidRPr="00941D99">
        <w:rPr>
          <w:rFonts w:ascii="Arial" w:hAnsi="Arial" w:cs="Arial"/>
          <w:b/>
          <w:bCs/>
          <w:noProof/>
          <w:sz w:val="24"/>
          <w:szCs w:val="24"/>
        </w:rPr>
        <w:t xml:space="preserve"> </w:t>
      </w:r>
      <w:r w:rsidR="00941D99" w:rsidRPr="00941D99">
        <w:rPr>
          <w:rFonts w:ascii="Arial" w:hAnsi="Arial" w:cs="Arial"/>
          <w:b/>
          <w:bCs/>
          <w:noProof/>
          <w:sz w:val="24"/>
          <w:szCs w:val="24"/>
        </w:rPr>
        <w:t xml:space="preserve">- </w:t>
      </w:r>
      <w:r>
        <w:rPr>
          <w:rFonts w:ascii="Arial" w:hAnsi="Arial" w:cs="Arial"/>
          <w:b/>
          <w:bCs/>
          <w:noProof/>
          <w:sz w:val="24"/>
          <w:szCs w:val="24"/>
        </w:rPr>
        <w:t>25</w:t>
      </w:r>
      <w:r w:rsidRPr="00941D99">
        <w:rPr>
          <w:rFonts w:ascii="Arial" w:hAnsi="Arial" w:cs="Arial"/>
          <w:b/>
          <w:bCs/>
          <w:noProof/>
          <w:sz w:val="24"/>
          <w:szCs w:val="24"/>
        </w:rPr>
        <w:t xml:space="preserve"> </w:t>
      </w:r>
      <w:r>
        <w:rPr>
          <w:rFonts w:ascii="Arial" w:hAnsi="Arial" w:cs="Arial"/>
          <w:b/>
          <w:bCs/>
          <w:noProof/>
          <w:sz w:val="24"/>
          <w:szCs w:val="24"/>
        </w:rPr>
        <w:t>August</w:t>
      </w:r>
      <w:r w:rsidRPr="00941D99">
        <w:rPr>
          <w:rFonts w:ascii="Arial" w:hAnsi="Arial" w:cs="Arial"/>
          <w:b/>
          <w:bCs/>
          <w:noProof/>
          <w:sz w:val="24"/>
          <w:szCs w:val="24"/>
        </w:rPr>
        <w:t xml:space="preserve"> </w:t>
      </w:r>
      <w:r w:rsidR="00941D99" w:rsidRPr="00941D99">
        <w:rPr>
          <w:rFonts w:ascii="Arial" w:hAnsi="Arial" w:cs="Arial"/>
          <w:b/>
          <w:bCs/>
          <w:noProof/>
          <w:sz w:val="24"/>
          <w:szCs w:val="24"/>
        </w:rPr>
        <w:t>2017</w:t>
      </w:r>
      <w:r w:rsidR="003B5FF4">
        <w:rPr>
          <w:rFonts w:ascii="Arial" w:hAnsi="Arial" w:cs="Arial"/>
          <w:b/>
          <w:bCs/>
          <w:noProof/>
          <w:sz w:val="24"/>
          <w:szCs w:val="24"/>
        </w:rPr>
        <w:tab/>
      </w:r>
      <w:r w:rsidR="003B5FF4">
        <w:rPr>
          <w:rFonts w:ascii="Arial" w:hAnsi="Arial" w:cs="Arial"/>
          <w:b/>
          <w:bCs/>
          <w:noProof/>
          <w:sz w:val="24"/>
          <w:szCs w:val="24"/>
        </w:rPr>
        <w:tab/>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21EBFE7F"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BE4DCB">
        <w:rPr>
          <w:sz w:val="22"/>
          <w:szCs w:val="22"/>
          <w:lang w:val="en-US"/>
        </w:rPr>
        <w:t>E</w:t>
      </w:r>
      <w:r w:rsidR="005E5183">
        <w:rPr>
          <w:sz w:val="22"/>
          <w:szCs w:val="22"/>
          <w:lang w:val="en-US"/>
        </w:rPr>
        <w:t>valuation for transmit diversity for V2X</w:t>
      </w:r>
    </w:p>
    <w:p w14:paraId="35A90F35" w14:textId="2E354400" w:rsidR="00005DBD" w:rsidRPr="009113B3" w:rsidRDefault="00005DBD" w:rsidP="00005DBD">
      <w:pPr>
        <w:pStyle w:val="TdocHeader2"/>
        <w:jc w:val="left"/>
        <w:rPr>
          <w:sz w:val="22"/>
          <w:szCs w:val="22"/>
          <w:lang w:val="en-US"/>
        </w:rPr>
      </w:pPr>
      <w:r w:rsidRPr="009113B3">
        <w:rPr>
          <w:sz w:val="22"/>
          <w:szCs w:val="22"/>
          <w:lang w:val="en-US"/>
        </w:rPr>
        <w:t>Agenda Item:</w:t>
      </w:r>
      <w:r w:rsidRPr="009113B3">
        <w:rPr>
          <w:sz w:val="22"/>
          <w:szCs w:val="22"/>
          <w:lang w:val="en-US"/>
        </w:rPr>
        <w:tab/>
      </w:r>
      <w:r w:rsidR="00BE4DCB">
        <w:rPr>
          <w:sz w:val="22"/>
          <w:szCs w:val="22"/>
          <w:lang w:val="en-US"/>
        </w:rPr>
        <w:t>5</w:t>
      </w:r>
      <w:r w:rsidR="005E5183" w:rsidRPr="005E5183">
        <w:rPr>
          <w:sz w:val="22"/>
          <w:szCs w:val="22"/>
          <w:lang w:val="en-US"/>
        </w:rPr>
        <w:t>.2.3.</w:t>
      </w:r>
      <w:r w:rsidR="00BE4DCB">
        <w:rPr>
          <w:sz w:val="22"/>
          <w:szCs w:val="22"/>
          <w:lang w:val="en-US"/>
        </w:rPr>
        <w:t>3</w:t>
      </w:r>
      <w:r w:rsidR="005E5183" w:rsidRPr="005E5183">
        <w:rPr>
          <w:sz w:val="22"/>
          <w:szCs w:val="22"/>
          <w:lang w:val="en-US"/>
        </w:rPr>
        <w:t>.2</w:t>
      </w:r>
      <w:r w:rsidR="005E5183">
        <w:t>             </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0C00572A" w14:textId="5BD7F4E6" w:rsidR="00DF3FAA" w:rsidRPr="008F1809" w:rsidRDefault="00EF2330" w:rsidP="00DF3FAA">
      <w:pPr>
        <w:pStyle w:val="BodyText"/>
        <w:spacing w:before="240" w:after="240"/>
        <w:jc w:val="both"/>
        <w:rPr>
          <w:sz w:val="20"/>
          <w:szCs w:val="20"/>
        </w:rPr>
      </w:pPr>
      <w:r w:rsidRPr="008F1809">
        <w:rPr>
          <w:sz w:val="20"/>
          <w:szCs w:val="20"/>
        </w:rPr>
        <w:t>RAN1#88bis agreed on having initial simulation results for transmit diversity for V2X. The relevant agreements are as follows:</w:t>
      </w:r>
    </w:p>
    <w:p w14:paraId="1FCFEE9A" w14:textId="77777777" w:rsidR="009113B3" w:rsidRPr="009113B3" w:rsidRDefault="009113B3" w:rsidP="009113B3">
      <w:pPr>
        <w:rPr>
          <w:rFonts w:eastAsia="MS Mincho"/>
          <w:i/>
          <w:iCs/>
          <w:lang w:eastAsia="ja-JP"/>
        </w:rPr>
      </w:pPr>
      <w:r w:rsidRPr="009113B3">
        <w:rPr>
          <w:rFonts w:eastAsia="MS Mincho"/>
          <w:i/>
          <w:iCs/>
          <w:highlight w:val="green"/>
          <w:lang w:eastAsia="ja-JP"/>
        </w:rPr>
        <w:t>Agreement:</w:t>
      </w:r>
    </w:p>
    <w:p w14:paraId="0701576D" w14:textId="77777777" w:rsidR="009113B3" w:rsidRPr="009113B3" w:rsidRDefault="009113B3" w:rsidP="009113B3">
      <w:pPr>
        <w:numPr>
          <w:ilvl w:val="0"/>
          <w:numId w:val="36"/>
        </w:numPr>
        <w:spacing w:after="0"/>
        <w:rPr>
          <w:rFonts w:eastAsia="MS Mincho"/>
          <w:i/>
          <w:iCs/>
          <w:lang w:val="en-US" w:eastAsia="ja-JP"/>
        </w:rPr>
      </w:pPr>
      <w:r w:rsidRPr="009113B3">
        <w:rPr>
          <w:rFonts w:eastAsia="MS Mincho"/>
          <w:i/>
          <w:iCs/>
          <w:lang w:val="en-US" w:eastAsia="ja-JP"/>
        </w:rPr>
        <w:t>At least the following candidate TxD schemes for PSSCH transmission to be evaluated:</w:t>
      </w:r>
    </w:p>
    <w:p w14:paraId="59839D07" w14:textId="77777777" w:rsidR="009113B3" w:rsidRPr="009113B3" w:rsidRDefault="009113B3" w:rsidP="009113B3">
      <w:pPr>
        <w:numPr>
          <w:ilvl w:val="1"/>
          <w:numId w:val="36"/>
        </w:numPr>
        <w:spacing w:after="0"/>
        <w:rPr>
          <w:rFonts w:eastAsia="MS Mincho"/>
          <w:i/>
          <w:iCs/>
          <w:lang w:val="en-US" w:eastAsia="ja-JP"/>
        </w:rPr>
      </w:pPr>
      <w:r w:rsidRPr="009113B3">
        <w:rPr>
          <w:rFonts w:eastAsia="MS Mincho"/>
          <w:i/>
          <w:iCs/>
          <w:lang w:val="en-US" w:eastAsia="ja-JP"/>
        </w:rPr>
        <w:t>Small delay CDD</w:t>
      </w:r>
    </w:p>
    <w:p w14:paraId="292C0ABC" w14:textId="77777777" w:rsidR="009113B3" w:rsidRPr="009113B3" w:rsidRDefault="009113B3" w:rsidP="009113B3">
      <w:pPr>
        <w:numPr>
          <w:ilvl w:val="1"/>
          <w:numId w:val="36"/>
        </w:numPr>
        <w:spacing w:after="0"/>
        <w:rPr>
          <w:rFonts w:eastAsia="MS Mincho"/>
          <w:i/>
          <w:iCs/>
          <w:lang w:val="en-US" w:eastAsia="ja-JP"/>
        </w:rPr>
      </w:pPr>
      <w:r w:rsidRPr="009113B3">
        <w:rPr>
          <w:rFonts w:eastAsia="MS Mincho"/>
          <w:i/>
          <w:iCs/>
          <w:lang w:val="en-US" w:eastAsia="ja-JP"/>
        </w:rPr>
        <w:t>STBC (including half symbol STBC proposal in R1-1705002)</w:t>
      </w:r>
    </w:p>
    <w:p w14:paraId="19A48512" w14:textId="77777777" w:rsidR="009113B3" w:rsidRPr="009113B3" w:rsidRDefault="009113B3" w:rsidP="009113B3">
      <w:pPr>
        <w:numPr>
          <w:ilvl w:val="1"/>
          <w:numId w:val="36"/>
        </w:numPr>
        <w:spacing w:after="0"/>
        <w:rPr>
          <w:rFonts w:eastAsia="MS Mincho"/>
          <w:i/>
          <w:iCs/>
          <w:lang w:val="en-US" w:eastAsia="ja-JP"/>
        </w:rPr>
      </w:pPr>
      <w:r w:rsidRPr="009113B3">
        <w:rPr>
          <w:rFonts w:eastAsia="MS Mincho"/>
          <w:i/>
          <w:iCs/>
          <w:lang w:val="en-US" w:eastAsia="ja-JP"/>
        </w:rPr>
        <w:t>SFBC</w:t>
      </w:r>
    </w:p>
    <w:p w14:paraId="5791D4E9" w14:textId="77777777" w:rsidR="009113B3" w:rsidRPr="009113B3" w:rsidRDefault="009113B3" w:rsidP="009113B3">
      <w:pPr>
        <w:numPr>
          <w:ilvl w:val="1"/>
          <w:numId w:val="36"/>
        </w:numPr>
        <w:spacing w:after="0"/>
        <w:rPr>
          <w:rFonts w:eastAsia="MS Mincho"/>
          <w:i/>
          <w:iCs/>
          <w:lang w:val="en-US" w:eastAsia="ja-JP"/>
        </w:rPr>
      </w:pPr>
      <w:r w:rsidRPr="009113B3">
        <w:rPr>
          <w:rFonts w:eastAsia="MS Mincho"/>
          <w:i/>
          <w:iCs/>
          <w:lang w:val="en-US" w:eastAsia="ja-JP"/>
        </w:rPr>
        <w:t>PVS in time domain</w:t>
      </w:r>
    </w:p>
    <w:p w14:paraId="10A1D287" w14:textId="2FF3CF7B" w:rsidR="009113B3" w:rsidRPr="009113B3" w:rsidRDefault="009113B3" w:rsidP="009113B3">
      <w:pPr>
        <w:rPr>
          <w:rFonts w:eastAsia="MS Mincho"/>
          <w:i/>
          <w:iCs/>
          <w:lang w:val="en-US" w:eastAsia="ja-JP"/>
        </w:rPr>
      </w:pPr>
      <w:r w:rsidRPr="009113B3">
        <w:rPr>
          <w:rFonts w:eastAsia="MS Mincho"/>
          <w:i/>
          <w:iCs/>
          <w:lang w:val="en-US" w:eastAsia="ja-JP"/>
        </w:rPr>
        <w:t>Note: other schemes are not precluded</w:t>
      </w:r>
      <w:r w:rsidR="00951041">
        <w:rPr>
          <w:rFonts w:eastAsia="MS Mincho"/>
          <w:i/>
          <w:iCs/>
          <w:lang w:val="en-US" w:eastAsia="ja-JP"/>
        </w:rPr>
        <w:t>.</w:t>
      </w:r>
    </w:p>
    <w:p w14:paraId="31C39B61" w14:textId="77777777" w:rsidR="009113B3" w:rsidRPr="009113B3" w:rsidRDefault="009113B3" w:rsidP="009113B3">
      <w:pPr>
        <w:rPr>
          <w:rFonts w:eastAsia="MS Mincho"/>
          <w:i/>
          <w:iCs/>
          <w:lang w:eastAsia="ja-JP"/>
        </w:rPr>
      </w:pPr>
      <w:r w:rsidRPr="009113B3">
        <w:rPr>
          <w:rFonts w:eastAsia="MS Mincho"/>
          <w:i/>
          <w:iCs/>
          <w:highlight w:val="green"/>
          <w:lang w:eastAsia="ja-JP"/>
        </w:rPr>
        <w:t>Agreement:</w:t>
      </w:r>
    </w:p>
    <w:p w14:paraId="382CA544" w14:textId="77777777" w:rsidR="009113B3" w:rsidRPr="009113B3" w:rsidRDefault="009113B3" w:rsidP="009113B3">
      <w:pPr>
        <w:numPr>
          <w:ilvl w:val="0"/>
          <w:numId w:val="36"/>
        </w:numPr>
        <w:spacing w:after="0"/>
        <w:rPr>
          <w:rFonts w:eastAsia="MS Mincho"/>
          <w:i/>
          <w:iCs/>
          <w:lang w:val="en-US" w:eastAsia="ja-JP"/>
        </w:rPr>
      </w:pPr>
      <w:r w:rsidRPr="009113B3">
        <w:rPr>
          <w:rFonts w:eastAsia="MS Mincho"/>
          <w:i/>
          <w:iCs/>
          <w:lang w:val="en-US" w:eastAsia="ja-JP"/>
        </w:rPr>
        <w:t>At least the following candidate TxD schemes for PSCCH transmission to be evaluated:</w:t>
      </w:r>
    </w:p>
    <w:p w14:paraId="23CCF10E" w14:textId="77777777" w:rsidR="009113B3" w:rsidRPr="009113B3" w:rsidRDefault="009113B3" w:rsidP="009113B3">
      <w:pPr>
        <w:numPr>
          <w:ilvl w:val="1"/>
          <w:numId w:val="36"/>
        </w:numPr>
        <w:spacing w:after="0"/>
        <w:rPr>
          <w:rFonts w:eastAsia="MS Mincho"/>
          <w:i/>
          <w:iCs/>
          <w:lang w:val="en-US" w:eastAsia="ja-JP"/>
        </w:rPr>
      </w:pPr>
      <w:r w:rsidRPr="009113B3">
        <w:rPr>
          <w:rFonts w:eastAsia="MS Mincho"/>
          <w:i/>
          <w:iCs/>
          <w:lang w:val="en-US" w:eastAsia="ja-JP"/>
        </w:rPr>
        <w:t>Small delay CDD</w:t>
      </w:r>
    </w:p>
    <w:p w14:paraId="08486747" w14:textId="77777777" w:rsidR="009113B3" w:rsidRPr="009113B3" w:rsidRDefault="009113B3" w:rsidP="009113B3">
      <w:pPr>
        <w:numPr>
          <w:ilvl w:val="0"/>
          <w:numId w:val="36"/>
        </w:numPr>
        <w:spacing w:after="0"/>
        <w:rPr>
          <w:rFonts w:eastAsia="MS Mincho"/>
          <w:i/>
          <w:iCs/>
          <w:lang w:val="en-US" w:eastAsia="ja-JP"/>
        </w:rPr>
      </w:pPr>
      <w:r w:rsidRPr="009113B3">
        <w:rPr>
          <w:rFonts w:eastAsia="MS Mincho"/>
          <w:i/>
          <w:iCs/>
          <w:lang w:val="en-US" w:eastAsia="ja-JP"/>
        </w:rPr>
        <w:t>Note: other schemes are not precluded provided that they fulfil objective 2 of the WID</w:t>
      </w:r>
    </w:p>
    <w:p w14:paraId="2B57C244" w14:textId="6689E7BD" w:rsidR="00F85A57" w:rsidRDefault="00F85A57" w:rsidP="00DF3FAA">
      <w:pPr>
        <w:pStyle w:val="BodyText"/>
        <w:spacing w:before="240" w:after="240"/>
        <w:jc w:val="both"/>
        <w:rPr>
          <w:sz w:val="20"/>
          <w:szCs w:val="20"/>
        </w:rPr>
      </w:pPr>
      <w:r>
        <w:rPr>
          <w:sz w:val="20"/>
          <w:szCs w:val="20"/>
        </w:rPr>
        <w:t>Additionally, in RAN1#89 the following agreements were made:</w:t>
      </w:r>
    </w:p>
    <w:p w14:paraId="670B5774" w14:textId="77777777" w:rsidR="00F85A57" w:rsidRPr="00F85A57" w:rsidRDefault="00F85A57" w:rsidP="00F85A57">
      <w:pPr>
        <w:pStyle w:val="BodyText"/>
        <w:spacing w:after="240"/>
        <w:rPr>
          <w:sz w:val="20"/>
          <w:szCs w:val="20"/>
        </w:rPr>
      </w:pPr>
      <w:r w:rsidRPr="00F85A57">
        <w:rPr>
          <w:sz w:val="20"/>
          <w:szCs w:val="20"/>
          <w:highlight w:val="green"/>
        </w:rPr>
        <w:t>Agreement:</w:t>
      </w:r>
      <w:r w:rsidRPr="00F85A57">
        <w:rPr>
          <w:sz w:val="20"/>
          <w:szCs w:val="20"/>
        </w:rPr>
        <w:t xml:space="preserve"> </w:t>
      </w:r>
    </w:p>
    <w:p w14:paraId="3926E810" w14:textId="77777777" w:rsidR="00F85A57" w:rsidRPr="00F85A57" w:rsidRDefault="00F85A57" w:rsidP="00F85A57">
      <w:pPr>
        <w:pStyle w:val="BodyText"/>
        <w:numPr>
          <w:ilvl w:val="0"/>
          <w:numId w:val="17"/>
        </w:numPr>
        <w:spacing w:before="240" w:after="240"/>
        <w:jc w:val="both"/>
        <w:rPr>
          <w:sz w:val="20"/>
          <w:szCs w:val="20"/>
        </w:rPr>
      </w:pPr>
      <w:r w:rsidRPr="00F85A57">
        <w:rPr>
          <w:sz w:val="20"/>
          <w:szCs w:val="20"/>
        </w:rPr>
        <w:t>Legacy Rel-14 DMRS pattern with single antenna port, including time-frequency location, sequence, and cyclic shift, is applied to PSCCH transmission.</w:t>
      </w:r>
    </w:p>
    <w:p w14:paraId="35A89EBF" w14:textId="77777777" w:rsidR="00F85A57" w:rsidRPr="00F85A57" w:rsidRDefault="00F85A57" w:rsidP="00F85A57">
      <w:pPr>
        <w:rPr>
          <w:rFonts w:eastAsia="MS Mincho"/>
          <w:iCs/>
          <w:lang w:eastAsia="ja-JP"/>
        </w:rPr>
      </w:pPr>
      <w:r w:rsidRPr="00F85A57">
        <w:rPr>
          <w:rFonts w:eastAsia="MS Mincho"/>
          <w:iCs/>
          <w:highlight w:val="darkYellow"/>
          <w:lang w:eastAsia="ja-JP"/>
        </w:rPr>
        <w:t>Working Assumption:</w:t>
      </w:r>
      <w:r w:rsidRPr="00F85A57">
        <w:rPr>
          <w:rFonts w:eastAsia="MS Mincho"/>
          <w:iCs/>
          <w:lang w:eastAsia="ja-JP"/>
        </w:rPr>
        <w:t xml:space="preserve"> </w:t>
      </w:r>
    </w:p>
    <w:p w14:paraId="20DEE60C" w14:textId="77777777" w:rsidR="00F85A57" w:rsidRPr="00F85A57" w:rsidRDefault="00F85A57" w:rsidP="00F85A57">
      <w:pPr>
        <w:numPr>
          <w:ilvl w:val="0"/>
          <w:numId w:val="39"/>
        </w:numPr>
        <w:spacing w:after="0"/>
        <w:rPr>
          <w:rFonts w:eastAsia="MS Mincho"/>
          <w:iCs/>
          <w:lang w:eastAsia="ja-JP"/>
        </w:rPr>
      </w:pPr>
      <w:r w:rsidRPr="00F85A57">
        <w:rPr>
          <w:rFonts w:eastAsia="MS Mincho"/>
          <w:iCs/>
          <w:lang w:eastAsia="ja-JP"/>
        </w:rPr>
        <w:t>MMSE-MRC receiver is the baseline for Rel-14 UEs</w:t>
      </w:r>
    </w:p>
    <w:p w14:paraId="222C19FA" w14:textId="77777777" w:rsidR="00F85A57" w:rsidRPr="00F85A57" w:rsidRDefault="00F85A57" w:rsidP="00F85A57">
      <w:pPr>
        <w:numPr>
          <w:ilvl w:val="1"/>
          <w:numId w:val="39"/>
        </w:numPr>
        <w:spacing w:after="0"/>
        <w:rPr>
          <w:rFonts w:eastAsia="MS Mincho"/>
          <w:iCs/>
          <w:lang w:eastAsia="ja-JP"/>
        </w:rPr>
      </w:pPr>
      <w:r w:rsidRPr="00F85A57">
        <w:rPr>
          <w:rFonts w:eastAsia="MS Mincho"/>
          <w:iCs/>
          <w:lang w:eastAsia="ja-JP"/>
        </w:rPr>
        <w:t>Companies can bring results with advanced receivers for Rel-14 UEs</w:t>
      </w:r>
    </w:p>
    <w:p w14:paraId="32110509" w14:textId="6F89E7CF" w:rsidR="003749CF" w:rsidRDefault="009113B3" w:rsidP="00DF3FAA">
      <w:pPr>
        <w:pStyle w:val="BodyText"/>
        <w:spacing w:before="240" w:after="240"/>
        <w:jc w:val="both"/>
        <w:rPr>
          <w:sz w:val="20"/>
          <w:szCs w:val="20"/>
        </w:rPr>
      </w:pPr>
      <w:r w:rsidRPr="008F1809">
        <w:rPr>
          <w:sz w:val="20"/>
          <w:szCs w:val="20"/>
        </w:rPr>
        <w:t>In this contribution</w:t>
      </w:r>
      <w:r w:rsidR="00A57E20">
        <w:rPr>
          <w:sz w:val="20"/>
          <w:szCs w:val="20"/>
        </w:rPr>
        <w:t>,</w:t>
      </w:r>
      <w:r w:rsidRPr="008F1809">
        <w:rPr>
          <w:sz w:val="20"/>
          <w:szCs w:val="20"/>
        </w:rPr>
        <w:t xml:space="preserve"> we present simulation results </w:t>
      </w:r>
      <w:r w:rsidR="009363F4">
        <w:rPr>
          <w:sz w:val="20"/>
          <w:szCs w:val="20"/>
        </w:rPr>
        <w:t>on transmit diversity</w:t>
      </w:r>
      <w:r w:rsidRPr="008F1809">
        <w:rPr>
          <w:sz w:val="20"/>
          <w:szCs w:val="20"/>
        </w:rPr>
        <w:t xml:space="preserve">. </w:t>
      </w:r>
      <w:r w:rsidR="003749CF">
        <w:rPr>
          <w:sz w:val="20"/>
          <w:szCs w:val="20"/>
        </w:rPr>
        <w:t xml:space="preserve">The results focus on system-level performance and complement the link-level results presented in RAN1#89. </w:t>
      </w:r>
    </w:p>
    <w:p w14:paraId="07A006E1" w14:textId="665F8BCE" w:rsidR="00F85A57" w:rsidRDefault="00A8419E" w:rsidP="00DF3FAA">
      <w:pPr>
        <w:pStyle w:val="BodyText"/>
        <w:spacing w:before="240" w:after="240"/>
        <w:jc w:val="both"/>
        <w:rPr>
          <w:sz w:val="20"/>
          <w:szCs w:val="20"/>
        </w:rPr>
      </w:pPr>
      <w:r>
        <w:rPr>
          <w:sz w:val="20"/>
          <w:szCs w:val="20"/>
        </w:rPr>
        <w:t xml:space="preserve">General discussions </w:t>
      </w:r>
      <w:r w:rsidR="00711C84">
        <w:rPr>
          <w:sz w:val="20"/>
          <w:szCs w:val="20"/>
        </w:rPr>
        <w:t>o</w:t>
      </w:r>
      <w:r>
        <w:rPr>
          <w:sz w:val="20"/>
          <w:szCs w:val="20"/>
        </w:rPr>
        <w:t xml:space="preserve">n transmit diversity </w:t>
      </w:r>
      <w:r w:rsidR="009363F4">
        <w:rPr>
          <w:sz w:val="20"/>
          <w:szCs w:val="20"/>
        </w:rPr>
        <w:t xml:space="preserve">and our conclusions </w:t>
      </w:r>
      <w:r>
        <w:rPr>
          <w:sz w:val="20"/>
          <w:szCs w:val="20"/>
        </w:rPr>
        <w:t>are presented in our contribution</w:t>
      </w:r>
      <w:r w:rsidR="009363F4">
        <w:rPr>
          <w:sz w:val="20"/>
          <w:szCs w:val="20"/>
        </w:rPr>
        <w:t>s</w:t>
      </w:r>
      <w:r>
        <w:rPr>
          <w:sz w:val="20"/>
          <w:szCs w:val="20"/>
        </w:rPr>
        <w:t xml:space="preserve"> </w:t>
      </w:r>
      <w:r w:rsidR="006D4265">
        <w:rPr>
          <w:sz w:val="20"/>
          <w:szCs w:val="20"/>
        </w:rPr>
        <w:fldChar w:fldCharType="begin"/>
      </w:r>
      <w:r w:rsidR="006D4265">
        <w:rPr>
          <w:sz w:val="20"/>
          <w:szCs w:val="20"/>
        </w:rPr>
        <w:instrText xml:space="preserve"> REF _Ref489947799 \r \h </w:instrText>
      </w:r>
      <w:r w:rsidR="006D4265">
        <w:rPr>
          <w:sz w:val="20"/>
          <w:szCs w:val="20"/>
        </w:rPr>
      </w:r>
      <w:r w:rsidR="006D4265">
        <w:rPr>
          <w:sz w:val="20"/>
          <w:szCs w:val="20"/>
        </w:rPr>
        <w:fldChar w:fldCharType="separate"/>
      </w:r>
      <w:r w:rsidR="008D6ABB">
        <w:rPr>
          <w:sz w:val="20"/>
          <w:szCs w:val="20"/>
        </w:rPr>
        <w:t>[2]</w:t>
      </w:r>
      <w:r w:rsidR="006D4265">
        <w:rPr>
          <w:sz w:val="20"/>
          <w:szCs w:val="20"/>
        </w:rPr>
        <w:fldChar w:fldCharType="end"/>
      </w:r>
      <w:r w:rsidR="009363F4">
        <w:rPr>
          <w:sz w:val="20"/>
          <w:szCs w:val="20"/>
        </w:rPr>
        <w:t xml:space="preserve"> and </w:t>
      </w:r>
      <w:r w:rsidR="00F85A57">
        <w:rPr>
          <w:sz w:val="20"/>
          <w:szCs w:val="20"/>
          <w:highlight w:val="yellow"/>
        </w:rPr>
        <w:fldChar w:fldCharType="begin"/>
      </w:r>
      <w:r w:rsidR="00F85A57">
        <w:rPr>
          <w:sz w:val="20"/>
          <w:szCs w:val="20"/>
        </w:rPr>
        <w:instrText xml:space="preserve"> REF _Ref489630406 \r \h </w:instrText>
      </w:r>
      <w:r w:rsidR="00F85A57">
        <w:rPr>
          <w:sz w:val="20"/>
          <w:szCs w:val="20"/>
          <w:highlight w:val="yellow"/>
        </w:rPr>
      </w:r>
      <w:r w:rsidR="00F85A57">
        <w:rPr>
          <w:sz w:val="20"/>
          <w:szCs w:val="20"/>
          <w:highlight w:val="yellow"/>
        </w:rPr>
        <w:fldChar w:fldCharType="separate"/>
      </w:r>
      <w:r w:rsidR="008D6ABB">
        <w:rPr>
          <w:sz w:val="20"/>
          <w:szCs w:val="20"/>
        </w:rPr>
        <w:t>[3]</w:t>
      </w:r>
      <w:r w:rsidR="00F85A57">
        <w:rPr>
          <w:sz w:val="20"/>
          <w:szCs w:val="20"/>
          <w:highlight w:val="yellow"/>
        </w:rPr>
        <w:fldChar w:fldCharType="end"/>
      </w:r>
      <w:r w:rsidR="009363F4">
        <w:rPr>
          <w:sz w:val="20"/>
          <w:szCs w:val="20"/>
        </w:rPr>
        <w:t>, respectively</w:t>
      </w:r>
      <w:r w:rsidR="00367E70">
        <w:rPr>
          <w:sz w:val="20"/>
          <w:szCs w:val="20"/>
        </w:rPr>
        <w:t>.</w:t>
      </w:r>
      <w:r w:rsidR="003749CF">
        <w:rPr>
          <w:sz w:val="20"/>
          <w:szCs w:val="20"/>
        </w:rPr>
        <w:t xml:space="preserve"> Considerations on DMRS and cubic metric can be found in </w:t>
      </w:r>
      <w:r w:rsidR="003749CF">
        <w:rPr>
          <w:sz w:val="20"/>
          <w:szCs w:val="20"/>
        </w:rPr>
        <w:fldChar w:fldCharType="begin"/>
      </w:r>
      <w:r w:rsidR="003749CF">
        <w:rPr>
          <w:sz w:val="20"/>
          <w:szCs w:val="20"/>
        </w:rPr>
        <w:instrText xml:space="preserve"> REF _Ref489868855 \r \h </w:instrText>
      </w:r>
      <w:r w:rsidR="003749CF">
        <w:rPr>
          <w:sz w:val="20"/>
          <w:szCs w:val="20"/>
        </w:rPr>
      </w:r>
      <w:r w:rsidR="003749CF">
        <w:rPr>
          <w:sz w:val="20"/>
          <w:szCs w:val="20"/>
        </w:rPr>
        <w:fldChar w:fldCharType="separate"/>
      </w:r>
      <w:r w:rsidR="008D6ABB">
        <w:rPr>
          <w:sz w:val="20"/>
          <w:szCs w:val="20"/>
        </w:rPr>
        <w:t>[4]</w:t>
      </w:r>
      <w:r w:rsidR="003749CF">
        <w:rPr>
          <w:sz w:val="20"/>
          <w:szCs w:val="20"/>
        </w:rPr>
        <w:fldChar w:fldCharType="end"/>
      </w:r>
      <w:r w:rsidR="003749CF">
        <w:rPr>
          <w:sz w:val="20"/>
          <w:szCs w:val="20"/>
        </w:rPr>
        <w:t>.</w:t>
      </w:r>
    </w:p>
    <w:p w14:paraId="02441836" w14:textId="69BA8382" w:rsidR="00EF6FAB" w:rsidRDefault="00017E1F" w:rsidP="00596B24">
      <w:pPr>
        <w:pStyle w:val="Heading1"/>
      </w:pPr>
      <w:bookmarkStart w:id="4" w:name="_Ref481578579"/>
      <w:bookmarkStart w:id="5" w:name="_Ref481578585"/>
      <w:bookmarkStart w:id="6" w:name="_Ref481763773"/>
      <w:bookmarkEnd w:id="4"/>
      <w:bookmarkEnd w:id="5"/>
      <w:r>
        <w:t>Evaluation</w:t>
      </w:r>
      <w:r w:rsidR="00EF6FAB">
        <w:t xml:space="preserve"> results</w:t>
      </w:r>
      <w:bookmarkEnd w:id="6"/>
    </w:p>
    <w:p w14:paraId="005D03CF" w14:textId="2718A2B9" w:rsidR="00017E1F" w:rsidRDefault="00017E1F" w:rsidP="00017E1F">
      <w:pPr>
        <w:pStyle w:val="Caption"/>
        <w:jc w:val="both"/>
        <w:rPr>
          <w:b w:val="0"/>
        </w:rPr>
      </w:pPr>
      <w:r w:rsidRPr="00017E1F">
        <w:rPr>
          <w:b w:val="0"/>
        </w:rPr>
        <w:t>In this</w:t>
      </w:r>
      <w:r>
        <w:rPr>
          <w:b w:val="0"/>
        </w:rPr>
        <w:t xml:space="preserve"> section, we present our evaluation results at system level. The schemes use for each of the curves are the following:</w:t>
      </w:r>
    </w:p>
    <w:p w14:paraId="77275F9F" w14:textId="73D70B84" w:rsidR="00017E1F" w:rsidRPr="00017E1F" w:rsidRDefault="00017E1F" w:rsidP="00017E1F">
      <w:pPr>
        <w:pStyle w:val="ListParagraph"/>
        <w:numPr>
          <w:ilvl w:val="0"/>
          <w:numId w:val="17"/>
        </w:numPr>
        <w:jc w:val="both"/>
        <w:rPr>
          <w:rFonts w:ascii="Times New Roman" w:hAnsi="Times New Roman" w:cs="Times New Roman"/>
          <w:sz w:val="20"/>
          <w:szCs w:val="20"/>
        </w:rPr>
      </w:pPr>
      <w:r w:rsidRPr="00017E1F">
        <w:rPr>
          <w:rFonts w:ascii="Times New Roman" w:hAnsi="Times New Roman" w:cs="Times New Roman"/>
          <w:sz w:val="20"/>
          <w:szCs w:val="20"/>
        </w:rPr>
        <w:t>Legacy:</w:t>
      </w:r>
      <w:r>
        <w:rPr>
          <w:rFonts w:ascii="Times New Roman" w:hAnsi="Times New Roman" w:cs="Times New Roman"/>
          <w:sz w:val="20"/>
          <w:szCs w:val="20"/>
        </w:rPr>
        <w:t xml:space="preserve"> single transmit port is used following the Rel-14 specification.</w:t>
      </w:r>
    </w:p>
    <w:p w14:paraId="7DA9B511" w14:textId="07B266AC" w:rsidR="00017E1F" w:rsidRPr="00017E1F" w:rsidRDefault="00017E1F" w:rsidP="00017E1F">
      <w:pPr>
        <w:pStyle w:val="ListParagraph"/>
        <w:numPr>
          <w:ilvl w:val="0"/>
          <w:numId w:val="17"/>
        </w:numPr>
        <w:jc w:val="both"/>
        <w:rPr>
          <w:rFonts w:ascii="Times New Roman" w:hAnsi="Times New Roman" w:cs="Times New Roman"/>
          <w:sz w:val="20"/>
          <w:szCs w:val="20"/>
        </w:rPr>
      </w:pPr>
      <w:r w:rsidRPr="00017E1F">
        <w:rPr>
          <w:rFonts w:ascii="Times New Roman" w:hAnsi="Times New Roman" w:cs="Times New Roman"/>
          <w:sz w:val="20"/>
          <w:szCs w:val="20"/>
        </w:rPr>
        <w:t>CDD:</w:t>
      </w:r>
      <w:r>
        <w:rPr>
          <w:rFonts w:ascii="Times New Roman" w:hAnsi="Times New Roman" w:cs="Times New Roman"/>
          <w:sz w:val="20"/>
          <w:szCs w:val="20"/>
        </w:rPr>
        <w:t xml:space="preserve"> single transmit port is used with CDD for both PSCCH and PSSCH.</w:t>
      </w:r>
    </w:p>
    <w:p w14:paraId="1DC866D6" w14:textId="7BAD684B" w:rsidR="00017E1F" w:rsidRPr="00017E1F" w:rsidRDefault="00017E1F" w:rsidP="00017E1F">
      <w:pPr>
        <w:pStyle w:val="ListParagraph"/>
        <w:numPr>
          <w:ilvl w:val="0"/>
          <w:numId w:val="17"/>
        </w:numPr>
        <w:jc w:val="both"/>
        <w:rPr>
          <w:rFonts w:ascii="Times New Roman" w:hAnsi="Times New Roman" w:cs="Times New Roman"/>
          <w:sz w:val="20"/>
          <w:szCs w:val="20"/>
        </w:rPr>
      </w:pPr>
      <w:r w:rsidRPr="00017E1F">
        <w:rPr>
          <w:rFonts w:ascii="Times New Roman" w:hAnsi="Times New Roman" w:cs="Times New Roman"/>
          <w:sz w:val="20"/>
          <w:szCs w:val="20"/>
        </w:rPr>
        <w:t>STBC:</w:t>
      </w:r>
      <w:r>
        <w:rPr>
          <w:rFonts w:ascii="Times New Roman" w:hAnsi="Times New Roman" w:cs="Times New Roman"/>
          <w:sz w:val="20"/>
          <w:szCs w:val="20"/>
        </w:rPr>
        <w:t xml:space="preserve"> two transmit ports are used with STBC for PSSCH. </w:t>
      </w:r>
      <w:r w:rsidR="00D85C45">
        <w:rPr>
          <w:rFonts w:ascii="Times New Roman" w:hAnsi="Times New Roman" w:cs="Times New Roman"/>
          <w:sz w:val="20"/>
          <w:szCs w:val="20"/>
        </w:rPr>
        <w:t xml:space="preserve">The </w:t>
      </w:r>
      <w:r w:rsidR="0008176E">
        <w:rPr>
          <w:rFonts w:ascii="Times New Roman" w:hAnsi="Times New Roman" w:cs="Times New Roman"/>
          <w:sz w:val="20"/>
          <w:szCs w:val="20"/>
        </w:rPr>
        <w:t>symbols are paired 1-3, 4-6, 7-9, and 10-12, leaving symbol 0 orphan</w:t>
      </w:r>
      <w:r w:rsidR="003D1B1D">
        <w:rPr>
          <w:rFonts w:ascii="Times New Roman" w:hAnsi="Times New Roman" w:cs="Times New Roman"/>
          <w:sz w:val="20"/>
          <w:szCs w:val="20"/>
        </w:rPr>
        <w:t xml:space="preserve">. </w:t>
      </w:r>
      <w:r>
        <w:rPr>
          <w:rFonts w:ascii="Times New Roman" w:hAnsi="Times New Roman" w:cs="Times New Roman"/>
          <w:sz w:val="20"/>
          <w:szCs w:val="20"/>
        </w:rPr>
        <w:t>For PSCCH, single transmit port is used with CDD.</w:t>
      </w:r>
    </w:p>
    <w:p w14:paraId="7D66C9D5" w14:textId="7F4A9A30" w:rsidR="00580503" w:rsidRPr="00984D6F" w:rsidRDefault="00017E1F" w:rsidP="00580503">
      <w:pPr>
        <w:pStyle w:val="ListParagraph"/>
        <w:numPr>
          <w:ilvl w:val="0"/>
          <w:numId w:val="17"/>
        </w:numPr>
        <w:jc w:val="both"/>
        <w:rPr>
          <w:rFonts w:ascii="Times New Roman" w:hAnsi="Times New Roman" w:cs="Times New Roman"/>
          <w:sz w:val="20"/>
          <w:szCs w:val="20"/>
        </w:rPr>
      </w:pPr>
      <w:r w:rsidRPr="00984D6F">
        <w:rPr>
          <w:rFonts w:ascii="Times New Roman" w:hAnsi="Times New Roman" w:cs="Times New Roman"/>
          <w:sz w:val="20"/>
          <w:szCs w:val="20"/>
        </w:rPr>
        <w:t>SFBC: two transmit ports are used with SFBC for PSSCH. A 1dB MPR value is used to account for the increase in CM</w:t>
      </w:r>
      <w:r w:rsidR="005864D5" w:rsidRPr="00984D6F">
        <w:rPr>
          <w:rFonts w:ascii="Times New Roman" w:hAnsi="Times New Roman" w:cs="Times New Roman"/>
          <w:sz w:val="20"/>
          <w:szCs w:val="20"/>
        </w:rPr>
        <w:t xml:space="preserve"> </w:t>
      </w:r>
      <w:r w:rsidR="00984D6F">
        <w:rPr>
          <w:rFonts w:ascii="Times New Roman" w:hAnsi="Times New Roman" w:cs="Times New Roman"/>
          <w:sz w:val="20"/>
          <w:szCs w:val="20"/>
        </w:rPr>
        <w:t xml:space="preserve">and is </w:t>
      </w:r>
      <w:r w:rsidR="00984D6F" w:rsidRPr="00984D6F">
        <w:rPr>
          <w:rFonts w:ascii="Times New Roman" w:hAnsi="Times New Roman" w:cs="Times New Roman"/>
          <w:sz w:val="20"/>
          <w:szCs w:val="20"/>
        </w:rPr>
        <w:t>applied to both sig</w:t>
      </w:r>
      <w:r w:rsidR="00984D6F">
        <w:rPr>
          <w:rFonts w:ascii="Times New Roman" w:hAnsi="Times New Roman" w:cs="Times New Roman"/>
          <w:sz w:val="20"/>
          <w:szCs w:val="20"/>
        </w:rPr>
        <w:t>n</w:t>
      </w:r>
      <w:r w:rsidR="00984D6F" w:rsidRPr="00984D6F">
        <w:rPr>
          <w:rFonts w:ascii="Times New Roman" w:hAnsi="Times New Roman" w:cs="Times New Roman"/>
          <w:sz w:val="20"/>
          <w:szCs w:val="20"/>
        </w:rPr>
        <w:t>al and IBE</w:t>
      </w:r>
      <w:r w:rsidR="009011AD" w:rsidRPr="00984D6F">
        <w:rPr>
          <w:rFonts w:ascii="Times New Roman" w:hAnsi="Times New Roman" w:cs="Times New Roman"/>
          <w:sz w:val="20"/>
          <w:szCs w:val="20"/>
        </w:rPr>
        <w:t>.</w:t>
      </w:r>
      <w:r w:rsidRPr="00984D6F">
        <w:rPr>
          <w:rFonts w:ascii="Times New Roman" w:hAnsi="Times New Roman" w:cs="Times New Roman"/>
          <w:sz w:val="20"/>
          <w:szCs w:val="20"/>
        </w:rPr>
        <w:t xml:space="preserve"> The details on the CM model and calculations can be found in </w:t>
      </w:r>
      <w:r w:rsidRPr="00984D6F">
        <w:rPr>
          <w:rFonts w:ascii="Times New Roman" w:hAnsi="Times New Roman" w:cs="Times New Roman"/>
          <w:sz w:val="20"/>
          <w:szCs w:val="20"/>
        </w:rPr>
        <w:fldChar w:fldCharType="begin"/>
      </w:r>
      <w:r w:rsidRPr="00984D6F">
        <w:rPr>
          <w:rFonts w:ascii="Times New Roman" w:hAnsi="Times New Roman" w:cs="Times New Roman"/>
          <w:sz w:val="20"/>
          <w:szCs w:val="20"/>
        </w:rPr>
        <w:instrText xml:space="preserve"> REF _Ref489868855 \r \h  \* MERGEFORMAT </w:instrText>
      </w:r>
      <w:r w:rsidRPr="00984D6F">
        <w:rPr>
          <w:rFonts w:ascii="Times New Roman" w:hAnsi="Times New Roman" w:cs="Times New Roman"/>
          <w:sz w:val="20"/>
          <w:szCs w:val="20"/>
        </w:rPr>
      </w:r>
      <w:r w:rsidRPr="00984D6F">
        <w:rPr>
          <w:rFonts w:ascii="Times New Roman" w:hAnsi="Times New Roman" w:cs="Times New Roman"/>
          <w:sz w:val="20"/>
          <w:szCs w:val="20"/>
        </w:rPr>
        <w:fldChar w:fldCharType="separate"/>
      </w:r>
      <w:r w:rsidR="008D6ABB">
        <w:rPr>
          <w:rFonts w:ascii="Times New Roman" w:hAnsi="Times New Roman" w:cs="Times New Roman"/>
          <w:sz w:val="20"/>
          <w:szCs w:val="20"/>
        </w:rPr>
        <w:t>[4]</w:t>
      </w:r>
      <w:r w:rsidRPr="00984D6F">
        <w:rPr>
          <w:rFonts w:ascii="Times New Roman" w:hAnsi="Times New Roman" w:cs="Times New Roman"/>
          <w:sz w:val="20"/>
          <w:szCs w:val="20"/>
        </w:rPr>
        <w:fldChar w:fldCharType="end"/>
      </w:r>
      <w:r w:rsidRPr="00984D6F">
        <w:rPr>
          <w:rFonts w:ascii="Times New Roman" w:hAnsi="Times New Roman" w:cs="Times New Roman"/>
          <w:sz w:val="20"/>
          <w:szCs w:val="20"/>
        </w:rPr>
        <w:t>. For PSCCH, single transmit port is used with CDD.</w:t>
      </w:r>
    </w:p>
    <w:p w14:paraId="2CE4DD19" w14:textId="2D724E29" w:rsidR="00580503" w:rsidRPr="00580503" w:rsidRDefault="00580503" w:rsidP="00984D6F">
      <w:pPr>
        <w:spacing w:before="240"/>
        <w:jc w:val="both"/>
      </w:pPr>
      <w:r>
        <w:t xml:space="preserve">For </w:t>
      </w:r>
      <w:r w:rsidR="00782BFD">
        <w:t xml:space="preserve">the </w:t>
      </w:r>
      <w:r>
        <w:t>two-port transmission scheme</w:t>
      </w:r>
      <w:r w:rsidR="00782BFD">
        <w:t xml:space="preserve">s </w:t>
      </w:r>
      <w:r w:rsidR="005864D5">
        <w:t xml:space="preserve">in the simulations, </w:t>
      </w:r>
      <w:r>
        <w:t xml:space="preserve">we </w:t>
      </w:r>
      <w:r w:rsidR="00782BFD">
        <w:t xml:space="preserve">have </w:t>
      </w:r>
      <w:r w:rsidR="005864D5">
        <w:t>consider</w:t>
      </w:r>
      <w:r w:rsidR="00782BFD">
        <w:t>ed</w:t>
      </w:r>
      <w:r w:rsidR="005864D5">
        <w:t xml:space="preserve"> CDM based DMRS </w:t>
      </w:r>
      <w:r w:rsidR="00782BFD">
        <w:t xml:space="preserve">(using CS) </w:t>
      </w:r>
      <w:r w:rsidR="005864D5">
        <w:t xml:space="preserve">for the two antenna ports. More specifically, </w:t>
      </w:r>
      <w:r w:rsidR="005864D5" w:rsidRPr="00984D6F">
        <w:t xml:space="preserve">two DMRS sequences for the two antenna ports are generated from different cyclic shifts of the same base sequence, where one of them is selected in the same way as in legacy Rel-14. </w:t>
      </w:r>
      <w:r w:rsidR="005864D5">
        <w:t xml:space="preserve"> Details of the DMRS structure can be found in our companion contribution [4].</w:t>
      </w:r>
    </w:p>
    <w:p w14:paraId="62D3EB56" w14:textId="1EB6F255" w:rsidR="009C6951" w:rsidRDefault="009C6951" w:rsidP="00017E1F">
      <w:pPr>
        <w:spacing w:before="240"/>
        <w:jc w:val="both"/>
      </w:pPr>
      <w:r>
        <w:lastRenderedPageBreak/>
        <w:t xml:space="preserve">We have excluded PVS from the analysis because the link-level evaluation results presented at RAN1#89 showed that it is clearly inferior to the rest of </w:t>
      </w:r>
      <w:r w:rsidR="00A57E20">
        <w:t xml:space="preserve">the </w:t>
      </w:r>
      <w:r>
        <w:t>techniques.</w:t>
      </w:r>
    </w:p>
    <w:p w14:paraId="36B7F09F" w14:textId="30DDD97E" w:rsidR="009442DC" w:rsidRDefault="009442DC" w:rsidP="00984D6F">
      <w:pPr>
        <w:pStyle w:val="Heading2"/>
      </w:pPr>
      <w:bookmarkStart w:id="7" w:name="_Ref490064572"/>
      <w:r>
        <w:t>Performance of Rel-15 UEs</w:t>
      </w:r>
      <w:bookmarkEnd w:id="7"/>
    </w:p>
    <w:p w14:paraId="35F4D532" w14:textId="619D224A" w:rsidR="009442DC" w:rsidRDefault="009442DC" w:rsidP="00017E1F">
      <w:pPr>
        <w:spacing w:before="240"/>
        <w:jc w:val="both"/>
      </w:pPr>
      <w:r>
        <w:t xml:space="preserve">We first discuss the performance of Rel-15 UEs and leave to Section </w:t>
      </w:r>
      <w:r>
        <w:fldChar w:fldCharType="begin"/>
      </w:r>
      <w:r>
        <w:instrText xml:space="preserve"> REF _Ref490064580 \r \h </w:instrText>
      </w:r>
      <w:r>
        <w:fldChar w:fldCharType="separate"/>
      </w:r>
      <w:r w:rsidR="008D6ABB">
        <w:t>2.2</w:t>
      </w:r>
      <w:r>
        <w:fldChar w:fldCharType="end"/>
      </w:r>
      <w:r>
        <w:t xml:space="preserve"> the analysis of the degradation introduced to Rel-14 UEs. </w:t>
      </w:r>
    </w:p>
    <w:p w14:paraId="7A7C5AAA" w14:textId="42CFAF94" w:rsidR="00984D6F" w:rsidRDefault="00017E1F" w:rsidP="00017E1F">
      <w:pPr>
        <w:spacing w:before="240"/>
        <w:jc w:val="both"/>
      </w:pPr>
      <w:r>
        <w:fldChar w:fldCharType="begin"/>
      </w:r>
      <w:r>
        <w:instrText xml:space="preserve"> REF _Ref489868959 \h </w:instrText>
      </w:r>
      <w:r>
        <w:fldChar w:fldCharType="separate"/>
      </w:r>
      <w:r w:rsidR="008D6ABB">
        <w:t xml:space="preserve">Figure </w:t>
      </w:r>
      <w:r w:rsidR="008D6ABB">
        <w:rPr>
          <w:noProof/>
        </w:rPr>
        <w:t>1</w:t>
      </w:r>
      <w:r>
        <w:fldChar w:fldCharType="end"/>
      </w:r>
      <w:r>
        <w:t xml:space="preserve"> shows the performance </w:t>
      </w:r>
      <w:r w:rsidR="00984D6F">
        <w:t xml:space="preserve">of each </w:t>
      </w:r>
      <w:r w:rsidR="0008176E">
        <w:t>transmit diversity scheme</w:t>
      </w:r>
      <w:r w:rsidR="00984D6F">
        <w:t xml:space="preserve"> (used by all UEs)</w:t>
      </w:r>
      <w:r w:rsidR="0008176E">
        <w:t xml:space="preserve"> in the</w:t>
      </w:r>
      <w:r>
        <w:t xml:space="preserve"> highway scenario with UE speed of 140 km/h. </w:t>
      </w:r>
    </w:p>
    <w:p w14:paraId="03CCD623" w14:textId="55F0305E" w:rsidR="00017E1F" w:rsidRPr="00017E1F" w:rsidRDefault="003D1B1D" w:rsidP="00017E1F">
      <w:pPr>
        <w:spacing w:before="240"/>
        <w:jc w:val="both"/>
      </w:pPr>
      <w:r>
        <w:t xml:space="preserve">In general, all diversity schemes offer gains over legacy schemes. However, the Alamouti schemes present substantial gains over the simpler CDD scheme. The difference between STBC </w:t>
      </w:r>
      <w:r w:rsidR="00A57E20">
        <w:t>and</w:t>
      </w:r>
      <w:r>
        <w:t xml:space="preserve"> SFBC Alamouti is small.</w:t>
      </w:r>
      <w:r w:rsidR="0008176E">
        <w:t xml:space="preserve"> For the speed in this scenario, we did not observe significant differences for STBC using the alternative symbol pairing 0-1, 3-4, 6-7, 9-10, leaving symbol 12 orphan.</w:t>
      </w:r>
    </w:p>
    <w:p w14:paraId="28745CBA" w14:textId="3DE298F0" w:rsidR="00017E1F" w:rsidRDefault="0031323F" w:rsidP="00017E1F">
      <w:pPr>
        <w:pStyle w:val="Caption"/>
        <w:keepNext/>
        <w:jc w:val="center"/>
      </w:pPr>
      <w:r>
        <w:rPr>
          <w:noProof/>
          <w:lang w:val="en-US"/>
        </w:rPr>
        <w:drawing>
          <wp:inline distT="0" distB="0" distL="0" distR="0" wp14:anchorId="37B6DA2E" wp14:editId="39120B33">
            <wp:extent cx="3600000" cy="2696400"/>
            <wp:effectExtent l="0" t="0" r="635" b="8890"/>
            <wp:docPr id="2" name="Picture 2" descr="X:\Team areas\V2X area\SideLink\3GPP-Contributions-by-Sidelink-Team\RAN1\90\TxD evaluation\figures\HWfas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Team areas\V2X area\SideLink\3GPP-Contributions-by-Sidelink-Team\RAN1\90\TxD evaluation\figures\HWfast.e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000" cy="2696400"/>
                    </a:xfrm>
                    <a:prstGeom prst="rect">
                      <a:avLst/>
                    </a:prstGeom>
                    <a:noFill/>
                    <a:ln>
                      <a:noFill/>
                    </a:ln>
                  </pic:spPr>
                </pic:pic>
              </a:graphicData>
            </a:graphic>
          </wp:inline>
        </w:drawing>
      </w:r>
    </w:p>
    <w:p w14:paraId="13161D18" w14:textId="3EDADDF7" w:rsidR="00017E1F" w:rsidRDefault="00017E1F" w:rsidP="00017E1F">
      <w:pPr>
        <w:pStyle w:val="Caption"/>
        <w:jc w:val="center"/>
      </w:pPr>
      <w:bookmarkStart w:id="8" w:name="_Ref489868959"/>
      <w:r>
        <w:t xml:space="preserve">Figure </w:t>
      </w:r>
      <w:r>
        <w:fldChar w:fldCharType="begin"/>
      </w:r>
      <w:r>
        <w:instrText xml:space="preserve"> SEQ Figure \* ARABIC </w:instrText>
      </w:r>
      <w:r>
        <w:fldChar w:fldCharType="separate"/>
      </w:r>
      <w:r w:rsidR="008D6ABB">
        <w:rPr>
          <w:noProof/>
        </w:rPr>
        <w:t>1</w:t>
      </w:r>
      <w:r>
        <w:fldChar w:fldCharType="end"/>
      </w:r>
      <w:bookmarkEnd w:id="8"/>
      <w:r>
        <w:t>. PRR performance for different transmit diversity schemes in highway scenario (140 km/h).</w:t>
      </w:r>
    </w:p>
    <w:p w14:paraId="1B97F217" w14:textId="77777777" w:rsidR="00EE00FD" w:rsidRDefault="00EE00FD" w:rsidP="00EE00FD">
      <w:pPr>
        <w:keepNext/>
        <w:jc w:val="center"/>
      </w:pPr>
      <w:r>
        <w:rPr>
          <w:noProof/>
          <w:lang w:val="en-US"/>
        </w:rPr>
        <w:drawing>
          <wp:inline distT="0" distB="0" distL="0" distR="0" wp14:anchorId="66C5C271" wp14:editId="1628C37F">
            <wp:extent cx="3600000" cy="2696400"/>
            <wp:effectExtent l="0" t="0" r="635" b="8890"/>
            <wp:docPr id="3" name="Picture 3" descr="X:\Team areas\V2X area\SideLink\3GPP-Contributions-by-Sidelink-Team\RAN1\90\TxD evaluation\figures\URBfas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Team areas\V2X area\SideLink\3GPP-Contributions-by-Sidelink-Team\RAN1\90\TxD evaluation\figures\URBfast.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0" cy="2696400"/>
                    </a:xfrm>
                    <a:prstGeom prst="rect">
                      <a:avLst/>
                    </a:prstGeom>
                    <a:noFill/>
                    <a:ln>
                      <a:noFill/>
                    </a:ln>
                  </pic:spPr>
                </pic:pic>
              </a:graphicData>
            </a:graphic>
          </wp:inline>
        </w:drawing>
      </w:r>
    </w:p>
    <w:p w14:paraId="09579A9D" w14:textId="5ACDF312" w:rsidR="00EE00FD" w:rsidRDefault="00EE00FD" w:rsidP="00EE00FD">
      <w:pPr>
        <w:pStyle w:val="Caption"/>
        <w:jc w:val="center"/>
      </w:pPr>
      <w:bookmarkStart w:id="9" w:name="_Ref489876927"/>
      <w:r>
        <w:t xml:space="preserve">Figure </w:t>
      </w:r>
      <w:r>
        <w:fldChar w:fldCharType="begin"/>
      </w:r>
      <w:r>
        <w:instrText xml:space="preserve"> SEQ Figure \* ARABIC </w:instrText>
      </w:r>
      <w:r>
        <w:fldChar w:fldCharType="separate"/>
      </w:r>
      <w:r w:rsidR="008D6ABB">
        <w:rPr>
          <w:noProof/>
        </w:rPr>
        <w:t>2</w:t>
      </w:r>
      <w:r>
        <w:fldChar w:fldCharType="end"/>
      </w:r>
      <w:bookmarkEnd w:id="9"/>
      <w:r>
        <w:t>. PRR performance for different transmit diversity schemes in urban scenario (60 km/h).</w:t>
      </w:r>
    </w:p>
    <w:p w14:paraId="24B25137" w14:textId="1E757861" w:rsidR="00EE00FD" w:rsidRPr="00EE00FD" w:rsidRDefault="00EE00FD" w:rsidP="00EE00FD">
      <w:pPr>
        <w:jc w:val="center"/>
      </w:pPr>
    </w:p>
    <w:p w14:paraId="1AA685FB" w14:textId="74D5D25C" w:rsidR="003D1B1D" w:rsidRPr="00B8184F" w:rsidRDefault="00B8184F" w:rsidP="00EF6FAB">
      <w:pPr>
        <w:pStyle w:val="BodyText"/>
        <w:spacing w:after="240"/>
        <w:jc w:val="both"/>
        <w:rPr>
          <w:b/>
          <w:i/>
          <w:sz w:val="20"/>
          <w:szCs w:val="20"/>
        </w:rPr>
      </w:pPr>
      <w:r w:rsidRPr="00B8184F">
        <w:rPr>
          <w:sz w:val="20"/>
          <w:szCs w:val="20"/>
          <w:highlight w:val="yellow"/>
        </w:rPr>
        <w:fldChar w:fldCharType="begin"/>
      </w:r>
      <w:r w:rsidRPr="00B8184F">
        <w:rPr>
          <w:sz w:val="20"/>
          <w:szCs w:val="20"/>
          <w:highlight w:val="yellow"/>
        </w:rPr>
        <w:instrText xml:space="preserve"> REF _Ref489876927 \h </w:instrText>
      </w:r>
      <w:r>
        <w:rPr>
          <w:sz w:val="20"/>
          <w:szCs w:val="20"/>
          <w:highlight w:val="yellow"/>
        </w:rPr>
        <w:instrText xml:space="preserve"> \* MERGEFORMAT </w:instrText>
      </w:r>
      <w:r w:rsidRPr="00B8184F">
        <w:rPr>
          <w:sz w:val="20"/>
          <w:szCs w:val="20"/>
          <w:highlight w:val="yellow"/>
        </w:rPr>
      </w:r>
      <w:r w:rsidRPr="00B8184F">
        <w:rPr>
          <w:sz w:val="20"/>
          <w:szCs w:val="20"/>
          <w:highlight w:val="yellow"/>
        </w:rPr>
        <w:fldChar w:fldCharType="separate"/>
      </w:r>
      <w:r w:rsidR="008D6ABB" w:rsidRPr="008D6ABB">
        <w:rPr>
          <w:sz w:val="20"/>
          <w:szCs w:val="20"/>
        </w:rPr>
        <w:t xml:space="preserve">Figure </w:t>
      </w:r>
      <w:r w:rsidR="008D6ABB" w:rsidRPr="008D6ABB">
        <w:rPr>
          <w:noProof/>
          <w:sz w:val="20"/>
          <w:szCs w:val="20"/>
        </w:rPr>
        <w:t>2</w:t>
      </w:r>
      <w:r w:rsidRPr="00B8184F">
        <w:rPr>
          <w:sz w:val="20"/>
          <w:szCs w:val="20"/>
          <w:highlight w:val="yellow"/>
        </w:rPr>
        <w:fldChar w:fldCharType="end"/>
      </w:r>
      <w:r w:rsidR="0008176E" w:rsidRPr="00B8184F">
        <w:rPr>
          <w:sz w:val="20"/>
          <w:szCs w:val="20"/>
        </w:rPr>
        <w:t xml:space="preserve"> shows the performance of the different transmit schemes in the urban scenario with UE speed of 60 km/h. The observations made for the highway scenario hold here too. </w:t>
      </w:r>
    </w:p>
    <w:p w14:paraId="7B0E3CBC" w14:textId="4EB63C3D" w:rsidR="00EF6FAB" w:rsidRPr="00B8184F" w:rsidRDefault="00EF6FAB" w:rsidP="00EF6FAB">
      <w:pPr>
        <w:pStyle w:val="BodyText"/>
        <w:spacing w:after="240"/>
        <w:jc w:val="both"/>
        <w:rPr>
          <w:i/>
          <w:sz w:val="20"/>
          <w:szCs w:val="20"/>
        </w:rPr>
      </w:pPr>
      <w:r w:rsidRPr="00B8184F">
        <w:rPr>
          <w:b/>
          <w:i/>
          <w:sz w:val="20"/>
          <w:szCs w:val="20"/>
        </w:rPr>
        <w:t>Observation</w:t>
      </w:r>
      <w:r w:rsidR="009011AD">
        <w:rPr>
          <w:b/>
          <w:i/>
          <w:sz w:val="20"/>
          <w:szCs w:val="20"/>
        </w:rPr>
        <w:t xml:space="preserve"> 1</w:t>
      </w:r>
      <w:r w:rsidRPr="00B8184F">
        <w:rPr>
          <w:b/>
          <w:i/>
          <w:sz w:val="20"/>
          <w:szCs w:val="20"/>
        </w:rPr>
        <w:t>:</w:t>
      </w:r>
    </w:p>
    <w:p w14:paraId="6C3CE4B7" w14:textId="56AD807B" w:rsidR="00EF6FAB" w:rsidRPr="00B8184F" w:rsidRDefault="0008176E" w:rsidP="00EF6FAB">
      <w:pPr>
        <w:pStyle w:val="BodyText"/>
        <w:numPr>
          <w:ilvl w:val="0"/>
          <w:numId w:val="17"/>
        </w:numPr>
        <w:spacing w:after="240"/>
        <w:jc w:val="both"/>
        <w:rPr>
          <w:b/>
          <w:i/>
          <w:sz w:val="20"/>
          <w:szCs w:val="20"/>
        </w:rPr>
      </w:pPr>
      <w:r w:rsidRPr="00B8184F">
        <w:rPr>
          <w:b/>
          <w:i/>
          <w:sz w:val="20"/>
          <w:szCs w:val="20"/>
        </w:rPr>
        <w:t>Transmit diversity improves significantly the performance in all scenarios.</w:t>
      </w:r>
    </w:p>
    <w:p w14:paraId="26C1B040" w14:textId="77777777" w:rsidR="00CA5FCD" w:rsidRPr="00B8184F" w:rsidRDefault="0008176E" w:rsidP="00EF6FAB">
      <w:pPr>
        <w:pStyle w:val="BodyText"/>
        <w:numPr>
          <w:ilvl w:val="0"/>
          <w:numId w:val="17"/>
        </w:numPr>
        <w:spacing w:after="240"/>
        <w:jc w:val="both"/>
        <w:rPr>
          <w:b/>
          <w:i/>
          <w:sz w:val="20"/>
          <w:szCs w:val="20"/>
        </w:rPr>
      </w:pPr>
      <w:r w:rsidRPr="00B8184F">
        <w:rPr>
          <w:b/>
          <w:i/>
          <w:sz w:val="20"/>
          <w:szCs w:val="20"/>
        </w:rPr>
        <w:lastRenderedPageBreak/>
        <w:t>The combination of CDD (for PSCCH) with Alamouti (for PSSCH)</w:t>
      </w:r>
      <w:r w:rsidR="00CA5FCD" w:rsidRPr="00B8184F">
        <w:rPr>
          <w:b/>
          <w:i/>
          <w:sz w:val="20"/>
          <w:szCs w:val="20"/>
        </w:rPr>
        <w:t xml:space="preserve"> yields best performance.</w:t>
      </w:r>
    </w:p>
    <w:p w14:paraId="5926C287" w14:textId="44ABDC2B" w:rsidR="0008176E" w:rsidRDefault="00CA5FCD" w:rsidP="00CA5FCD">
      <w:pPr>
        <w:pStyle w:val="BodyText"/>
        <w:numPr>
          <w:ilvl w:val="1"/>
          <w:numId w:val="17"/>
        </w:numPr>
        <w:spacing w:after="240"/>
        <w:jc w:val="both"/>
        <w:rPr>
          <w:b/>
          <w:i/>
          <w:sz w:val="20"/>
          <w:szCs w:val="20"/>
        </w:rPr>
      </w:pPr>
      <w:r w:rsidRPr="00B8184F">
        <w:rPr>
          <w:b/>
          <w:i/>
          <w:sz w:val="20"/>
          <w:szCs w:val="20"/>
        </w:rPr>
        <w:t>At system leve</w:t>
      </w:r>
      <w:r w:rsidR="00B8184F">
        <w:rPr>
          <w:b/>
          <w:i/>
          <w:sz w:val="20"/>
          <w:szCs w:val="20"/>
        </w:rPr>
        <w:t>l</w:t>
      </w:r>
      <w:r w:rsidRPr="00B8184F">
        <w:rPr>
          <w:b/>
          <w:i/>
          <w:sz w:val="20"/>
          <w:szCs w:val="20"/>
        </w:rPr>
        <w:t>, the differences between STBC</w:t>
      </w:r>
      <w:r>
        <w:rPr>
          <w:b/>
          <w:i/>
          <w:sz w:val="20"/>
          <w:szCs w:val="20"/>
        </w:rPr>
        <w:t xml:space="preserve"> and SFBC and due to the different</w:t>
      </w:r>
      <w:r w:rsidR="00B8184F">
        <w:rPr>
          <w:b/>
          <w:i/>
          <w:sz w:val="20"/>
          <w:szCs w:val="20"/>
        </w:rPr>
        <w:t xml:space="preserve"> </w:t>
      </w:r>
      <w:r>
        <w:rPr>
          <w:b/>
          <w:i/>
          <w:sz w:val="20"/>
          <w:szCs w:val="20"/>
        </w:rPr>
        <w:t>symbol pairings are small.</w:t>
      </w:r>
    </w:p>
    <w:p w14:paraId="42BC766B" w14:textId="1F716F88" w:rsidR="009442DC" w:rsidRDefault="009442DC" w:rsidP="009442DC">
      <w:pPr>
        <w:pStyle w:val="Heading2"/>
      </w:pPr>
      <w:bookmarkStart w:id="10" w:name="_Ref490064580"/>
      <w:r>
        <w:t>Performance of legacy UEs</w:t>
      </w:r>
      <w:bookmarkEnd w:id="10"/>
    </w:p>
    <w:p w14:paraId="102A4553" w14:textId="4AF0F88C" w:rsidR="009442DC" w:rsidRDefault="009442DC" w:rsidP="008D6ABB">
      <w:pPr>
        <w:spacing w:before="240"/>
        <w:jc w:val="both"/>
      </w:pPr>
      <w:r>
        <w:t>One critical aspect of the work item is the coexistence of Rel-15 UEs with legacy UEs. The initial link-level evaluations in RAN1#89 showed that no performance degradation is introduced to Rel-14 UEs using MMSE-MRC receivers.</w:t>
      </w:r>
    </w:p>
    <w:p w14:paraId="4E45BADC" w14:textId="50DE0E50" w:rsidR="009011AD" w:rsidRDefault="009442DC" w:rsidP="008D6ABB">
      <w:pPr>
        <w:spacing w:before="240"/>
        <w:jc w:val="both"/>
      </w:pPr>
      <w:r>
        <w:fldChar w:fldCharType="begin"/>
      </w:r>
      <w:r>
        <w:instrText xml:space="preserve"> REF _Ref490064879 \h </w:instrText>
      </w:r>
      <w:r>
        <w:fldChar w:fldCharType="separate"/>
      </w:r>
      <w:r w:rsidR="008D6ABB">
        <w:t xml:space="preserve">Figure </w:t>
      </w:r>
      <w:r w:rsidR="008D6ABB">
        <w:rPr>
          <w:noProof/>
        </w:rPr>
        <w:t>3</w:t>
      </w:r>
      <w:r>
        <w:fldChar w:fldCharType="end"/>
      </w:r>
      <w:r>
        <w:t xml:space="preserve"> shows the system-level performance of legacy UEs in the presence of UEs using different multi-antenna transmission schemes. It can be observed that the degradation in performance introduced by multi-antenna transmitters is no</w:t>
      </w:r>
      <w:r w:rsidR="008D6ABB">
        <w:t>t</w:t>
      </w:r>
      <w:r>
        <w:t xml:space="preserve"> different from that introduced by a legacy transmitter. </w:t>
      </w:r>
    </w:p>
    <w:p w14:paraId="197C00DB" w14:textId="3A5CE920" w:rsidR="009442DC" w:rsidRDefault="009011AD" w:rsidP="008D6ABB">
      <w:pPr>
        <w:spacing w:before="240"/>
        <w:jc w:val="both"/>
      </w:pPr>
      <w:r>
        <w:t>The results presented here are for highway scenarios with high speed but we observe the same behavior in other scenarios too.</w:t>
      </w:r>
    </w:p>
    <w:p w14:paraId="2AF25E4B" w14:textId="77777777" w:rsidR="009442DC" w:rsidRDefault="009442DC" w:rsidP="008D6ABB">
      <w:pPr>
        <w:keepNext/>
        <w:spacing w:before="240"/>
        <w:jc w:val="center"/>
      </w:pPr>
      <w:r>
        <w:rPr>
          <w:noProof/>
          <w:lang w:val="en-US"/>
        </w:rPr>
        <w:drawing>
          <wp:inline distT="0" distB="0" distL="0" distR="0" wp14:anchorId="6C741690" wp14:editId="3F9415D3">
            <wp:extent cx="3600000" cy="2700000"/>
            <wp:effectExtent l="0" t="0" r="635" b="5715"/>
            <wp:docPr id="1" name="Picture 1" descr="X:\Team areas\V2X area\SideLink\3GPP-Contributions-by-Sidelink-Team\RAN1\90\TxD evaluation\figures\HWfast_legacy_degrdation.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Team areas\V2X area\SideLink\3GPP-Contributions-by-Sidelink-Team\RAN1\90\TxD evaluation\figures\HWfast_legacy_degrdation.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2F181B25" w14:textId="21A0939B" w:rsidR="009442DC" w:rsidRDefault="009442DC" w:rsidP="008D6ABB">
      <w:pPr>
        <w:pStyle w:val="Caption"/>
        <w:jc w:val="center"/>
      </w:pPr>
      <w:bookmarkStart w:id="11" w:name="_Ref490064879"/>
      <w:r>
        <w:t xml:space="preserve">Figure </w:t>
      </w:r>
      <w:r>
        <w:fldChar w:fldCharType="begin"/>
      </w:r>
      <w:r>
        <w:instrText xml:space="preserve"> SEQ Figure \* ARABIC </w:instrText>
      </w:r>
      <w:r>
        <w:fldChar w:fldCharType="separate"/>
      </w:r>
      <w:r w:rsidR="008D6ABB">
        <w:rPr>
          <w:noProof/>
        </w:rPr>
        <w:t>3</w:t>
      </w:r>
      <w:r>
        <w:fldChar w:fldCharType="end"/>
      </w:r>
      <w:bookmarkEnd w:id="11"/>
      <w:r>
        <w:t xml:space="preserve">. PRR performance of Rel-14 receivers in the presence of </w:t>
      </w:r>
      <w:r w:rsidR="009011AD">
        <w:t xml:space="preserve">Rel-14/Rel-15 transmitters (50% - </w:t>
      </w:r>
      <w:r>
        <w:t>50%).</w:t>
      </w:r>
    </w:p>
    <w:p w14:paraId="17D52866" w14:textId="60E2B866" w:rsidR="009011AD" w:rsidRPr="008D6ABB" w:rsidRDefault="009011AD" w:rsidP="009011AD">
      <w:pPr>
        <w:pStyle w:val="BodyText"/>
        <w:spacing w:after="240"/>
        <w:jc w:val="both"/>
        <w:rPr>
          <w:i/>
          <w:sz w:val="20"/>
          <w:szCs w:val="20"/>
        </w:rPr>
      </w:pPr>
      <w:r w:rsidRPr="008D6ABB">
        <w:rPr>
          <w:b/>
          <w:i/>
          <w:sz w:val="20"/>
          <w:szCs w:val="20"/>
        </w:rPr>
        <w:t>Observation 2:</w:t>
      </w:r>
    </w:p>
    <w:p w14:paraId="26D44C1F" w14:textId="3A60FAAD" w:rsidR="009442DC" w:rsidRPr="008D6ABB" w:rsidRDefault="009011AD" w:rsidP="008D6ABB">
      <w:pPr>
        <w:pStyle w:val="BodyText"/>
        <w:numPr>
          <w:ilvl w:val="0"/>
          <w:numId w:val="17"/>
        </w:numPr>
        <w:spacing w:after="240"/>
        <w:jc w:val="both"/>
        <w:rPr>
          <w:sz w:val="20"/>
          <w:szCs w:val="20"/>
        </w:rPr>
      </w:pPr>
      <w:r w:rsidRPr="008D6ABB">
        <w:rPr>
          <w:b/>
          <w:i/>
          <w:sz w:val="20"/>
          <w:szCs w:val="20"/>
        </w:rPr>
        <w:t>Multiple-antenna transmission does not introduce additional degradation to Rel-14 UEs.</w:t>
      </w:r>
    </w:p>
    <w:p w14:paraId="3C4455C8" w14:textId="4602E4C2" w:rsidR="00706C19" w:rsidRDefault="00706C19" w:rsidP="00706C19">
      <w:pPr>
        <w:pStyle w:val="Heading1"/>
      </w:pPr>
      <w:r w:rsidRPr="00744368">
        <w:t xml:space="preserve">Conclusion </w:t>
      </w:r>
    </w:p>
    <w:p w14:paraId="780EB8D2" w14:textId="51E3DC0F" w:rsidR="00B44BBC" w:rsidRPr="00B44BBC" w:rsidRDefault="00B44BBC" w:rsidP="00B44BBC">
      <w:r>
        <w:t>In this paper, we have evaluated the performance of the different transmit diversity schemes. We have observed the following:</w:t>
      </w:r>
    </w:p>
    <w:p w14:paraId="27252E17" w14:textId="77777777" w:rsidR="009011AD" w:rsidRPr="00B8184F" w:rsidRDefault="009011AD" w:rsidP="009011AD">
      <w:pPr>
        <w:pStyle w:val="BodyText"/>
        <w:spacing w:after="240"/>
        <w:jc w:val="both"/>
        <w:rPr>
          <w:i/>
          <w:sz w:val="20"/>
          <w:szCs w:val="20"/>
        </w:rPr>
      </w:pPr>
      <w:r w:rsidRPr="00B8184F">
        <w:rPr>
          <w:b/>
          <w:i/>
          <w:sz w:val="20"/>
          <w:szCs w:val="20"/>
        </w:rPr>
        <w:t>Observation</w:t>
      </w:r>
      <w:r>
        <w:rPr>
          <w:b/>
          <w:i/>
          <w:sz w:val="20"/>
          <w:szCs w:val="20"/>
        </w:rPr>
        <w:t xml:space="preserve"> 1</w:t>
      </w:r>
      <w:r w:rsidRPr="00B8184F">
        <w:rPr>
          <w:b/>
          <w:i/>
          <w:sz w:val="20"/>
          <w:szCs w:val="20"/>
        </w:rPr>
        <w:t>:</w:t>
      </w:r>
    </w:p>
    <w:p w14:paraId="5865E01A" w14:textId="77777777" w:rsidR="009011AD" w:rsidRPr="00B8184F" w:rsidRDefault="009011AD" w:rsidP="009011AD">
      <w:pPr>
        <w:pStyle w:val="BodyText"/>
        <w:numPr>
          <w:ilvl w:val="0"/>
          <w:numId w:val="17"/>
        </w:numPr>
        <w:spacing w:after="240"/>
        <w:jc w:val="both"/>
        <w:rPr>
          <w:b/>
          <w:i/>
          <w:sz w:val="20"/>
          <w:szCs w:val="20"/>
        </w:rPr>
      </w:pPr>
      <w:r w:rsidRPr="00B8184F">
        <w:rPr>
          <w:b/>
          <w:i/>
          <w:sz w:val="20"/>
          <w:szCs w:val="20"/>
        </w:rPr>
        <w:t>Transmit diversity improves significantly the performance in all scenarios.</w:t>
      </w:r>
    </w:p>
    <w:p w14:paraId="575324AE" w14:textId="77777777" w:rsidR="009011AD" w:rsidRPr="00B8184F" w:rsidRDefault="009011AD" w:rsidP="009011AD">
      <w:pPr>
        <w:pStyle w:val="BodyText"/>
        <w:numPr>
          <w:ilvl w:val="0"/>
          <w:numId w:val="17"/>
        </w:numPr>
        <w:spacing w:after="240"/>
        <w:jc w:val="both"/>
        <w:rPr>
          <w:b/>
          <w:i/>
          <w:sz w:val="20"/>
          <w:szCs w:val="20"/>
        </w:rPr>
      </w:pPr>
      <w:r w:rsidRPr="00B8184F">
        <w:rPr>
          <w:b/>
          <w:i/>
          <w:sz w:val="20"/>
          <w:szCs w:val="20"/>
        </w:rPr>
        <w:t>The combination of CDD (for PSCCH) with Alamouti (for PSSCH) yields best performance.</w:t>
      </w:r>
    </w:p>
    <w:p w14:paraId="2BB2FBE2" w14:textId="77777777" w:rsidR="009011AD" w:rsidRDefault="009011AD" w:rsidP="009011AD">
      <w:pPr>
        <w:pStyle w:val="BodyText"/>
        <w:numPr>
          <w:ilvl w:val="1"/>
          <w:numId w:val="17"/>
        </w:numPr>
        <w:spacing w:after="240"/>
        <w:jc w:val="both"/>
        <w:rPr>
          <w:b/>
          <w:i/>
          <w:sz w:val="20"/>
          <w:szCs w:val="20"/>
        </w:rPr>
      </w:pPr>
      <w:r w:rsidRPr="00B8184F">
        <w:rPr>
          <w:b/>
          <w:i/>
          <w:sz w:val="20"/>
          <w:szCs w:val="20"/>
        </w:rPr>
        <w:t>At system leve</w:t>
      </w:r>
      <w:r>
        <w:rPr>
          <w:b/>
          <w:i/>
          <w:sz w:val="20"/>
          <w:szCs w:val="20"/>
        </w:rPr>
        <w:t>l</w:t>
      </w:r>
      <w:r w:rsidRPr="00B8184F">
        <w:rPr>
          <w:b/>
          <w:i/>
          <w:sz w:val="20"/>
          <w:szCs w:val="20"/>
        </w:rPr>
        <w:t>, the differences between STBC</w:t>
      </w:r>
      <w:r>
        <w:rPr>
          <w:b/>
          <w:i/>
          <w:sz w:val="20"/>
          <w:szCs w:val="20"/>
        </w:rPr>
        <w:t xml:space="preserve"> and SFBC and due to the different symbol pairings are small.</w:t>
      </w:r>
    </w:p>
    <w:p w14:paraId="54775552" w14:textId="0F85AFB0" w:rsidR="009011AD" w:rsidRPr="00B8184F" w:rsidRDefault="009011AD" w:rsidP="009011AD">
      <w:pPr>
        <w:pStyle w:val="BodyText"/>
        <w:spacing w:after="240"/>
        <w:jc w:val="both"/>
        <w:rPr>
          <w:i/>
          <w:sz w:val="20"/>
          <w:szCs w:val="20"/>
        </w:rPr>
      </w:pPr>
      <w:r w:rsidRPr="00B8184F">
        <w:rPr>
          <w:b/>
          <w:i/>
          <w:sz w:val="20"/>
          <w:szCs w:val="20"/>
        </w:rPr>
        <w:t>Observation</w:t>
      </w:r>
      <w:r>
        <w:rPr>
          <w:b/>
          <w:i/>
          <w:sz w:val="20"/>
          <w:szCs w:val="20"/>
        </w:rPr>
        <w:t xml:space="preserve"> 2</w:t>
      </w:r>
      <w:r w:rsidRPr="00B8184F">
        <w:rPr>
          <w:b/>
          <w:i/>
          <w:sz w:val="20"/>
          <w:szCs w:val="20"/>
        </w:rPr>
        <w:t>:</w:t>
      </w:r>
    </w:p>
    <w:p w14:paraId="1A87F31D" w14:textId="4FA72070" w:rsidR="009011AD" w:rsidRPr="008D6ABB" w:rsidRDefault="009011AD" w:rsidP="008D6ABB">
      <w:pPr>
        <w:pStyle w:val="BodyText"/>
        <w:numPr>
          <w:ilvl w:val="0"/>
          <w:numId w:val="17"/>
        </w:numPr>
        <w:spacing w:after="240"/>
        <w:jc w:val="both"/>
      </w:pPr>
      <w:r w:rsidRPr="002A26EE">
        <w:rPr>
          <w:b/>
          <w:i/>
          <w:sz w:val="20"/>
          <w:szCs w:val="20"/>
        </w:rPr>
        <w:t>Multiple-antenna transmission does not introduce additional degradation to Rel-14 UEs.</w:t>
      </w:r>
    </w:p>
    <w:p w14:paraId="5036C165" w14:textId="77777777" w:rsidR="00706C19" w:rsidRPr="00DA1475" w:rsidRDefault="00706C19" w:rsidP="00706C19">
      <w:pPr>
        <w:pStyle w:val="Heading1"/>
      </w:pPr>
      <w:r w:rsidRPr="00DA1475">
        <w:t>Reference</w:t>
      </w:r>
    </w:p>
    <w:p w14:paraId="5BBE0EE5" w14:textId="605B6E4C" w:rsidR="006D4265" w:rsidRPr="008D6ABB" w:rsidRDefault="006D4265" w:rsidP="006D4265">
      <w:pPr>
        <w:pStyle w:val="ListParagraph"/>
        <w:numPr>
          <w:ilvl w:val="0"/>
          <w:numId w:val="9"/>
        </w:numPr>
        <w:rPr>
          <w:rFonts w:ascii="Times New Roman" w:hAnsi="Times New Roman" w:cs="Times New Roman"/>
          <w:color w:val="312E25"/>
          <w:sz w:val="20"/>
          <w:szCs w:val="20"/>
          <w:lang w:eastAsia="sv-SE"/>
        </w:rPr>
      </w:pPr>
      <w:bookmarkStart w:id="12" w:name="_Ref489947755"/>
      <w:bookmarkStart w:id="13" w:name="_Ref462922309"/>
      <w:bookmarkStart w:id="14" w:name="_Ref450915949"/>
      <w:r>
        <w:rPr>
          <w:rFonts w:ascii="Times New Roman" w:hAnsi="Times New Roman" w:cs="Times New Roman"/>
          <w:color w:val="312E25"/>
          <w:sz w:val="20"/>
          <w:szCs w:val="20"/>
          <w:lang w:eastAsia="sv-SE"/>
        </w:rPr>
        <w:t xml:space="preserve"> </w:t>
      </w:r>
      <w:r w:rsidRPr="006D4265">
        <w:rPr>
          <w:rFonts w:ascii="Times New Roman" w:hAnsi="Times New Roman" w:cs="Times New Roman"/>
          <w:color w:val="312E25"/>
          <w:sz w:val="20"/>
          <w:szCs w:val="20"/>
          <w:lang w:eastAsia="sv-SE"/>
        </w:rPr>
        <w:t xml:space="preserve">R1-1709157 </w:t>
      </w:r>
      <w:r>
        <w:rPr>
          <w:rFonts w:ascii="Times New Roman" w:hAnsi="Times New Roman" w:cs="Times New Roman"/>
          <w:color w:val="312E25"/>
          <w:sz w:val="20"/>
          <w:szCs w:val="20"/>
          <w:lang w:eastAsia="sv-SE"/>
        </w:rPr>
        <w:t>“</w:t>
      </w:r>
      <w:r w:rsidRPr="006D4265">
        <w:rPr>
          <w:rFonts w:ascii="Times New Roman" w:hAnsi="Times New Roman" w:cs="Times New Roman"/>
          <w:color w:val="312E25"/>
          <w:sz w:val="20"/>
          <w:szCs w:val="20"/>
          <w:lang w:eastAsia="sv-SE"/>
        </w:rPr>
        <w:t>Initial evaluation for transmit diversity for V2X</w:t>
      </w:r>
      <w:r>
        <w:rPr>
          <w:rFonts w:ascii="Times New Roman" w:hAnsi="Times New Roman" w:cs="Times New Roman"/>
          <w:color w:val="312E25"/>
          <w:sz w:val="20"/>
          <w:szCs w:val="20"/>
          <w:lang w:eastAsia="sv-SE"/>
        </w:rPr>
        <w:t>,”</w:t>
      </w:r>
      <w:r w:rsidRPr="006D4265">
        <w:rPr>
          <w:rFonts w:ascii="Times New Roman" w:hAnsi="Times New Roman" w:cs="Times New Roman"/>
          <w:color w:val="312E25"/>
          <w:sz w:val="20"/>
          <w:szCs w:val="20"/>
          <w:lang w:eastAsia="sv-SE"/>
        </w:rPr>
        <w:t xml:space="preserve"> Ericsson</w:t>
      </w:r>
      <w:bookmarkEnd w:id="12"/>
    </w:p>
    <w:p w14:paraId="7AB8CE8E" w14:textId="2BE12343" w:rsidR="00DF3FAA" w:rsidRPr="006D4265" w:rsidRDefault="00DF3FAA" w:rsidP="00DF3FAA">
      <w:pPr>
        <w:pStyle w:val="ListParagraph"/>
        <w:numPr>
          <w:ilvl w:val="0"/>
          <w:numId w:val="9"/>
        </w:numPr>
        <w:ind w:left="567" w:hanging="425"/>
        <w:rPr>
          <w:rFonts w:ascii="Times New Roman" w:hAnsi="Times New Roman" w:cs="Times New Roman"/>
          <w:color w:val="312E25"/>
          <w:sz w:val="20"/>
          <w:szCs w:val="20"/>
          <w:lang w:eastAsia="sv-SE"/>
        </w:rPr>
      </w:pPr>
      <w:bookmarkStart w:id="15" w:name="_Ref489947799"/>
      <w:r w:rsidRPr="008D6ABB">
        <w:rPr>
          <w:rFonts w:ascii="Times New Roman" w:hAnsi="Times New Roman" w:cs="Times New Roman"/>
          <w:color w:val="312E25"/>
          <w:sz w:val="20"/>
          <w:szCs w:val="20"/>
          <w:lang w:eastAsia="sv-SE"/>
        </w:rPr>
        <w:t>R1-</w:t>
      </w:r>
      <w:r w:rsidR="00A57E20" w:rsidRPr="008D6ABB">
        <w:rPr>
          <w:rFonts w:ascii="Times New Roman" w:hAnsi="Times New Roman" w:cs="Times New Roman"/>
          <w:color w:val="312E25"/>
          <w:sz w:val="20"/>
          <w:szCs w:val="20"/>
          <w:lang w:eastAsia="sv-SE"/>
        </w:rPr>
        <w:t>17</w:t>
      </w:r>
      <w:r w:rsidR="00A57E20" w:rsidRPr="006D4265">
        <w:rPr>
          <w:rFonts w:ascii="Times New Roman" w:hAnsi="Times New Roman" w:cs="Times New Roman"/>
          <w:color w:val="312E25"/>
          <w:sz w:val="20"/>
          <w:szCs w:val="20"/>
          <w:lang w:eastAsia="sv-SE"/>
        </w:rPr>
        <w:t xml:space="preserve">12655 </w:t>
      </w:r>
      <w:r w:rsidR="001E35C7" w:rsidRPr="006D4265">
        <w:rPr>
          <w:rFonts w:ascii="Times New Roman" w:hAnsi="Times New Roman" w:cs="Times New Roman"/>
          <w:color w:val="312E25"/>
          <w:sz w:val="20"/>
          <w:szCs w:val="20"/>
          <w:lang w:eastAsia="sv-SE"/>
        </w:rPr>
        <w:t>“Transmit diversity solutions for Rel-15 PSCCH and PSSCH transmissions</w:t>
      </w:r>
      <w:r w:rsidR="001329AC" w:rsidRPr="006D4265">
        <w:rPr>
          <w:rFonts w:ascii="Times New Roman" w:hAnsi="Times New Roman" w:cs="Times New Roman"/>
          <w:color w:val="312E25"/>
          <w:sz w:val="20"/>
          <w:szCs w:val="20"/>
          <w:lang w:eastAsia="sv-SE"/>
        </w:rPr>
        <w:t>,</w:t>
      </w:r>
      <w:r w:rsidR="001E35C7" w:rsidRPr="006D4265">
        <w:rPr>
          <w:rFonts w:ascii="Times New Roman" w:hAnsi="Times New Roman" w:cs="Times New Roman"/>
          <w:color w:val="312E25"/>
          <w:sz w:val="20"/>
          <w:szCs w:val="20"/>
          <w:lang w:eastAsia="sv-SE"/>
        </w:rPr>
        <w:t>”</w:t>
      </w:r>
      <w:r w:rsidR="001329AC" w:rsidRPr="006D4265">
        <w:rPr>
          <w:rFonts w:ascii="Times New Roman" w:hAnsi="Times New Roman" w:cs="Times New Roman"/>
          <w:color w:val="312E25"/>
          <w:sz w:val="20"/>
          <w:szCs w:val="20"/>
          <w:lang w:eastAsia="sv-SE"/>
        </w:rPr>
        <w:tab/>
      </w:r>
      <w:r w:rsidRPr="006D4265">
        <w:rPr>
          <w:rFonts w:ascii="Times New Roman" w:hAnsi="Times New Roman" w:cs="Times New Roman"/>
          <w:color w:val="312E25"/>
          <w:sz w:val="20"/>
          <w:szCs w:val="20"/>
          <w:lang w:eastAsia="sv-SE"/>
        </w:rPr>
        <w:t>Ericsson</w:t>
      </w:r>
      <w:bookmarkEnd w:id="13"/>
      <w:bookmarkEnd w:id="15"/>
    </w:p>
    <w:p w14:paraId="155D16AB" w14:textId="6AEB32A6" w:rsidR="009363F4" w:rsidRPr="006D4265" w:rsidRDefault="00A57E20" w:rsidP="00DF3FAA">
      <w:pPr>
        <w:pStyle w:val="ListParagraph"/>
        <w:numPr>
          <w:ilvl w:val="0"/>
          <w:numId w:val="9"/>
        </w:numPr>
        <w:ind w:left="567" w:hanging="425"/>
        <w:rPr>
          <w:rFonts w:ascii="Times New Roman" w:hAnsi="Times New Roman" w:cs="Times New Roman"/>
          <w:color w:val="312E25"/>
          <w:sz w:val="20"/>
          <w:szCs w:val="20"/>
          <w:lang w:eastAsia="sv-SE"/>
        </w:rPr>
      </w:pPr>
      <w:bookmarkStart w:id="16" w:name="_Ref489630406"/>
      <w:r w:rsidRPr="008D6ABB">
        <w:rPr>
          <w:rFonts w:ascii="Times New Roman" w:hAnsi="Times New Roman" w:cs="Times New Roman"/>
          <w:color w:val="312E25"/>
          <w:sz w:val="20"/>
          <w:szCs w:val="20"/>
          <w:lang w:eastAsia="sv-SE"/>
        </w:rPr>
        <w:t>R1-1712657 “</w:t>
      </w:r>
      <w:bookmarkEnd w:id="16"/>
      <w:r w:rsidRPr="008D6ABB">
        <w:rPr>
          <w:rFonts w:ascii="Times New Roman" w:hAnsi="Times New Roman" w:cs="Times New Roman"/>
          <w:color w:val="312E25"/>
          <w:sz w:val="20"/>
          <w:szCs w:val="20"/>
          <w:lang w:eastAsia="sv-SE"/>
        </w:rPr>
        <w:t>Conclusion on transmit diversity for V2X,” Ericsson</w:t>
      </w:r>
    </w:p>
    <w:p w14:paraId="4F845FA9" w14:textId="7552384D" w:rsidR="009C6951" w:rsidRPr="008D6ABB" w:rsidRDefault="00782BFD" w:rsidP="00782BFD">
      <w:pPr>
        <w:pStyle w:val="ListParagraph"/>
        <w:numPr>
          <w:ilvl w:val="0"/>
          <w:numId w:val="9"/>
        </w:numPr>
        <w:rPr>
          <w:rFonts w:ascii="Times New Roman" w:hAnsi="Times New Roman" w:cs="Times New Roman"/>
          <w:color w:val="312E25"/>
          <w:sz w:val="20"/>
          <w:szCs w:val="20"/>
          <w:lang w:eastAsia="sv-SE"/>
        </w:rPr>
      </w:pPr>
      <w:bookmarkStart w:id="17" w:name="_Ref489868855"/>
      <w:r w:rsidRPr="00287292">
        <w:rPr>
          <w:rFonts w:ascii="Times New Roman" w:hAnsi="Times New Roman" w:cs="Times New Roman"/>
          <w:color w:val="312E25"/>
          <w:sz w:val="20"/>
          <w:szCs w:val="20"/>
          <w:lang w:eastAsia="sv-SE"/>
        </w:rPr>
        <w:t>R1-1713990, “DMRS design for Rel. 15 V2X transmissions with transmit diversity”, Ericsson</w:t>
      </w:r>
      <w:bookmarkStart w:id="18" w:name="_Ref489633868"/>
      <w:bookmarkEnd w:id="17"/>
    </w:p>
    <w:p w14:paraId="33B09209" w14:textId="51280405" w:rsidR="005102EA" w:rsidRPr="008D6ABB" w:rsidRDefault="005102EA" w:rsidP="005102EA">
      <w:pPr>
        <w:pStyle w:val="ListParagraph"/>
        <w:numPr>
          <w:ilvl w:val="0"/>
          <w:numId w:val="9"/>
        </w:numPr>
        <w:rPr>
          <w:rFonts w:ascii="Times New Roman" w:hAnsi="Times New Roman" w:cs="Times New Roman"/>
          <w:color w:val="312E25"/>
          <w:sz w:val="20"/>
          <w:szCs w:val="20"/>
          <w:lang w:eastAsia="sv-SE"/>
        </w:rPr>
      </w:pPr>
      <w:r w:rsidRPr="00287292">
        <w:rPr>
          <w:rFonts w:ascii="Times New Roman" w:hAnsi="Times New Roman" w:cs="Times New Roman"/>
          <w:color w:val="312E25"/>
          <w:sz w:val="20"/>
          <w:szCs w:val="20"/>
          <w:lang w:eastAsia="sv-SE"/>
        </w:rPr>
        <w:lastRenderedPageBreak/>
        <w:t>R1-1708558, “Transmit diversity schemes for V2X PC5”, Nokia</w:t>
      </w:r>
    </w:p>
    <w:bookmarkEnd w:id="14"/>
    <w:bookmarkEnd w:id="18"/>
    <w:p w14:paraId="1F2ABCA8" w14:textId="0F6E1BA4" w:rsidR="003453BC" w:rsidRPr="009113B3" w:rsidRDefault="003453BC" w:rsidP="009113B3">
      <w:pPr>
        <w:pStyle w:val="B1"/>
        <w:ind w:left="0" w:firstLine="0"/>
      </w:pPr>
    </w:p>
    <w:sectPr w:rsidR="003453BC" w:rsidRPr="009113B3"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ECB96" w14:textId="77777777" w:rsidR="00C47B85" w:rsidRDefault="00C47B85">
      <w:r>
        <w:separator/>
      </w:r>
    </w:p>
  </w:endnote>
  <w:endnote w:type="continuationSeparator" w:id="0">
    <w:p w14:paraId="59243E8C" w14:textId="77777777" w:rsidR="00C47B85" w:rsidRDefault="00C4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DBEA1" w14:textId="77777777" w:rsidR="00C47B85" w:rsidRDefault="00C47B85">
      <w:r>
        <w:separator/>
      </w:r>
    </w:p>
  </w:footnote>
  <w:footnote w:type="continuationSeparator" w:id="0">
    <w:p w14:paraId="7F79F644" w14:textId="77777777" w:rsidR="00C47B85" w:rsidRDefault="00C47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B5062"/>
    <w:multiLevelType w:val="hybridMultilevel"/>
    <w:tmpl w:val="F8264FE0"/>
    <w:lvl w:ilvl="0" w:tplc="9340826C">
      <w:start w:val="1"/>
      <w:numFmt w:val="bullet"/>
      <w:lvlText w:val="•"/>
      <w:lvlJc w:val="left"/>
      <w:pPr>
        <w:tabs>
          <w:tab w:val="num" w:pos="720"/>
        </w:tabs>
        <w:ind w:left="720" w:hanging="360"/>
      </w:pPr>
      <w:rPr>
        <w:rFonts w:ascii="Arial" w:hAnsi="Arial" w:hint="default"/>
      </w:rPr>
    </w:lvl>
    <w:lvl w:ilvl="1" w:tplc="1086468A" w:tentative="1">
      <w:start w:val="1"/>
      <w:numFmt w:val="bullet"/>
      <w:lvlText w:val="•"/>
      <w:lvlJc w:val="left"/>
      <w:pPr>
        <w:tabs>
          <w:tab w:val="num" w:pos="1440"/>
        </w:tabs>
        <w:ind w:left="1440" w:hanging="360"/>
      </w:pPr>
      <w:rPr>
        <w:rFonts w:ascii="Arial" w:hAnsi="Arial" w:hint="default"/>
      </w:rPr>
    </w:lvl>
    <w:lvl w:ilvl="2" w:tplc="97EA64E4" w:tentative="1">
      <w:start w:val="1"/>
      <w:numFmt w:val="bullet"/>
      <w:lvlText w:val="•"/>
      <w:lvlJc w:val="left"/>
      <w:pPr>
        <w:tabs>
          <w:tab w:val="num" w:pos="2160"/>
        </w:tabs>
        <w:ind w:left="2160" w:hanging="360"/>
      </w:pPr>
      <w:rPr>
        <w:rFonts w:ascii="Arial" w:hAnsi="Arial" w:hint="default"/>
      </w:rPr>
    </w:lvl>
    <w:lvl w:ilvl="3" w:tplc="11A08AD8" w:tentative="1">
      <w:start w:val="1"/>
      <w:numFmt w:val="bullet"/>
      <w:lvlText w:val="•"/>
      <w:lvlJc w:val="left"/>
      <w:pPr>
        <w:tabs>
          <w:tab w:val="num" w:pos="2880"/>
        </w:tabs>
        <w:ind w:left="2880" w:hanging="360"/>
      </w:pPr>
      <w:rPr>
        <w:rFonts w:ascii="Arial" w:hAnsi="Arial" w:hint="default"/>
      </w:rPr>
    </w:lvl>
    <w:lvl w:ilvl="4" w:tplc="E89AE0BA" w:tentative="1">
      <w:start w:val="1"/>
      <w:numFmt w:val="bullet"/>
      <w:lvlText w:val="•"/>
      <w:lvlJc w:val="left"/>
      <w:pPr>
        <w:tabs>
          <w:tab w:val="num" w:pos="3600"/>
        </w:tabs>
        <w:ind w:left="3600" w:hanging="360"/>
      </w:pPr>
      <w:rPr>
        <w:rFonts w:ascii="Arial" w:hAnsi="Arial" w:hint="default"/>
      </w:rPr>
    </w:lvl>
    <w:lvl w:ilvl="5" w:tplc="DAD823A2" w:tentative="1">
      <w:start w:val="1"/>
      <w:numFmt w:val="bullet"/>
      <w:lvlText w:val="•"/>
      <w:lvlJc w:val="left"/>
      <w:pPr>
        <w:tabs>
          <w:tab w:val="num" w:pos="4320"/>
        </w:tabs>
        <w:ind w:left="4320" w:hanging="360"/>
      </w:pPr>
      <w:rPr>
        <w:rFonts w:ascii="Arial" w:hAnsi="Arial" w:hint="default"/>
      </w:rPr>
    </w:lvl>
    <w:lvl w:ilvl="6" w:tplc="5120B3D0" w:tentative="1">
      <w:start w:val="1"/>
      <w:numFmt w:val="bullet"/>
      <w:lvlText w:val="•"/>
      <w:lvlJc w:val="left"/>
      <w:pPr>
        <w:tabs>
          <w:tab w:val="num" w:pos="5040"/>
        </w:tabs>
        <w:ind w:left="5040" w:hanging="360"/>
      </w:pPr>
      <w:rPr>
        <w:rFonts w:ascii="Arial" w:hAnsi="Arial" w:hint="default"/>
      </w:rPr>
    </w:lvl>
    <w:lvl w:ilvl="7" w:tplc="EA78C0F0" w:tentative="1">
      <w:start w:val="1"/>
      <w:numFmt w:val="bullet"/>
      <w:lvlText w:val="•"/>
      <w:lvlJc w:val="left"/>
      <w:pPr>
        <w:tabs>
          <w:tab w:val="num" w:pos="5760"/>
        </w:tabs>
        <w:ind w:left="5760" w:hanging="360"/>
      </w:pPr>
      <w:rPr>
        <w:rFonts w:ascii="Arial" w:hAnsi="Arial" w:hint="default"/>
      </w:rPr>
    </w:lvl>
    <w:lvl w:ilvl="8" w:tplc="4EF804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D745C"/>
    <w:multiLevelType w:val="hybridMultilevel"/>
    <w:tmpl w:val="AD0AD9B2"/>
    <w:lvl w:ilvl="0" w:tplc="AADEA4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0B1784"/>
    <w:multiLevelType w:val="hybridMultilevel"/>
    <w:tmpl w:val="3190ACAE"/>
    <w:lvl w:ilvl="0" w:tplc="2FA2A7E0">
      <w:start w:val="1"/>
      <w:numFmt w:val="decimal"/>
      <w:lvlText w:val="[%1]"/>
      <w:lvlJc w:val="left"/>
      <w:pPr>
        <w:ind w:left="502" w:hanging="360"/>
      </w:pPr>
      <w:rPr>
        <w:rFonts w:hint="default"/>
        <w:color w:val="000000" w:themeColor="text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0B2749"/>
    <w:multiLevelType w:val="hybridMultilevel"/>
    <w:tmpl w:val="8DEC0BF4"/>
    <w:lvl w:ilvl="0" w:tplc="2AB0FD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16222"/>
    <w:multiLevelType w:val="hybridMultilevel"/>
    <w:tmpl w:val="3BB8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20D17"/>
    <w:multiLevelType w:val="hybridMultilevel"/>
    <w:tmpl w:val="76201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D36C4"/>
    <w:multiLevelType w:val="hybridMultilevel"/>
    <w:tmpl w:val="776E3462"/>
    <w:lvl w:ilvl="0" w:tplc="54D049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5"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3"/>
  </w:num>
  <w:num w:numId="2">
    <w:abstractNumId w:val="33"/>
  </w:num>
  <w:num w:numId="3">
    <w:abstractNumId w:val="30"/>
  </w:num>
  <w:num w:numId="4">
    <w:abstractNumId w:val="15"/>
  </w:num>
  <w:num w:numId="5">
    <w:abstractNumId w:val="19"/>
  </w:num>
  <w:num w:numId="6">
    <w:abstractNumId w:val="34"/>
  </w:num>
  <w:num w:numId="7">
    <w:abstractNumId w:val="3"/>
  </w:num>
  <w:num w:numId="8">
    <w:abstractNumId w:val="26"/>
  </w:num>
  <w:num w:numId="9">
    <w:abstractNumId w:val="13"/>
  </w:num>
  <w:num w:numId="10">
    <w:abstractNumId w:val="21"/>
  </w:num>
  <w:num w:numId="11">
    <w:abstractNumId w:val="3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9"/>
  </w:num>
  <w:num w:numId="17">
    <w:abstractNumId w:val="27"/>
  </w:num>
  <w:num w:numId="18">
    <w:abstractNumId w:val="6"/>
  </w:num>
  <w:num w:numId="19">
    <w:abstractNumId w:val="9"/>
  </w:num>
  <w:num w:numId="20">
    <w:abstractNumId w:val="31"/>
  </w:num>
  <w:num w:numId="21">
    <w:abstractNumId w:val="8"/>
  </w:num>
  <w:num w:numId="22">
    <w:abstractNumId w:val="11"/>
  </w:num>
  <w:num w:numId="23">
    <w:abstractNumId w:val="17"/>
  </w:num>
  <w:num w:numId="24">
    <w:abstractNumId w:val="4"/>
  </w:num>
  <w:num w:numId="25">
    <w:abstractNumId w:val="7"/>
  </w:num>
  <w:num w:numId="26">
    <w:abstractNumId w:val="12"/>
  </w:num>
  <w:num w:numId="27">
    <w:abstractNumId w:val="18"/>
  </w:num>
  <w:num w:numId="28">
    <w:abstractNumId w:val="2"/>
  </w:num>
  <w:num w:numId="29">
    <w:abstractNumId w:val="25"/>
  </w:num>
  <w:num w:numId="30">
    <w:abstractNumId w:val="24"/>
  </w:num>
  <w:num w:numId="31">
    <w:abstractNumId w:val="28"/>
  </w:num>
  <w:num w:numId="32">
    <w:abstractNumId w:val="10"/>
  </w:num>
  <w:num w:numId="33">
    <w:abstractNumId w:val="14"/>
  </w:num>
  <w:num w:numId="34">
    <w:abstractNumId w:val="1"/>
  </w:num>
  <w:num w:numId="35">
    <w:abstractNumId w:val="22"/>
  </w:num>
  <w:num w:numId="36">
    <w:abstractNumId w:val="16"/>
  </w:num>
  <w:num w:numId="37">
    <w:abstractNumId w:val="20"/>
  </w:num>
  <w:num w:numId="38">
    <w:abstractNumId w:val="30"/>
  </w:num>
  <w:num w:numId="3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5AF"/>
    <w:rsid w:val="00007C3F"/>
    <w:rsid w:val="00007CC8"/>
    <w:rsid w:val="00007E7A"/>
    <w:rsid w:val="000107C7"/>
    <w:rsid w:val="000107E1"/>
    <w:rsid w:val="00010A15"/>
    <w:rsid w:val="00010F6D"/>
    <w:rsid w:val="00011C06"/>
    <w:rsid w:val="0001219E"/>
    <w:rsid w:val="000122AD"/>
    <w:rsid w:val="0001275C"/>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E1F"/>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53E"/>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B80"/>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1A1"/>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6E"/>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E38"/>
    <w:rsid w:val="00085E73"/>
    <w:rsid w:val="00085F3C"/>
    <w:rsid w:val="00085FE5"/>
    <w:rsid w:val="000860F2"/>
    <w:rsid w:val="00086580"/>
    <w:rsid w:val="000866EA"/>
    <w:rsid w:val="00086847"/>
    <w:rsid w:val="00087208"/>
    <w:rsid w:val="0008723C"/>
    <w:rsid w:val="000874DF"/>
    <w:rsid w:val="00087DF8"/>
    <w:rsid w:val="000906CD"/>
    <w:rsid w:val="0009074E"/>
    <w:rsid w:val="000908AA"/>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6DC"/>
    <w:rsid w:val="00095945"/>
    <w:rsid w:val="00096225"/>
    <w:rsid w:val="000962FC"/>
    <w:rsid w:val="000964D6"/>
    <w:rsid w:val="0009664E"/>
    <w:rsid w:val="00096A0F"/>
    <w:rsid w:val="00096AEE"/>
    <w:rsid w:val="00096BE6"/>
    <w:rsid w:val="00096F89"/>
    <w:rsid w:val="000972EA"/>
    <w:rsid w:val="00097B91"/>
    <w:rsid w:val="00097E2F"/>
    <w:rsid w:val="00097E3C"/>
    <w:rsid w:val="000A0702"/>
    <w:rsid w:val="000A0BB1"/>
    <w:rsid w:val="000A0BEA"/>
    <w:rsid w:val="000A0D1F"/>
    <w:rsid w:val="000A0DBD"/>
    <w:rsid w:val="000A1030"/>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0A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2A1F"/>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271"/>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4A31"/>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4B7E"/>
    <w:rsid w:val="00124F29"/>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9AC"/>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49E"/>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220"/>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125"/>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8B2"/>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C7A97"/>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B0D"/>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5C7"/>
    <w:rsid w:val="001E396A"/>
    <w:rsid w:val="001E3C3F"/>
    <w:rsid w:val="001E3FE4"/>
    <w:rsid w:val="001E41F3"/>
    <w:rsid w:val="001E4CB9"/>
    <w:rsid w:val="001E4CEC"/>
    <w:rsid w:val="001E5017"/>
    <w:rsid w:val="001E5142"/>
    <w:rsid w:val="001E57DE"/>
    <w:rsid w:val="001E5869"/>
    <w:rsid w:val="001E59DB"/>
    <w:rsid w:val="001E610A"/>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6FD3"/>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A35"/>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61A"/>
    <w:rsid w:val="00253DB0"/>
    <w:rsid w:val="00254D97"/>
    <w:rsid w:val="00254DF1"/>
    <w:rsid w:val="00254E25"/>
    <w:rsid w:val="00254E8E"/>
    <w:rsid w:val="00255314"/>
    <w:rsid w:val="0025575B"/>
    <w:rsid w:val="00255884"/>
    <w:rsid w:val="00255BAB"/>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292"/>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3CE3"/>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1F6"/>
    <w:rsid w:val="002B6272"/>
    <w:rsid w:val="002B6698"/>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6B4"/>
    <w:rsid w:val="00310BEA"/>
    <w:rsid w:val="00310CE1"/>
    <w:rsid w:val="0031113A"/>
    <w:rsid w:val="00311F49"/>
    <w:rsid w:val="00311FB2"/>
    <w:rsid w:val="00312175"/>
    <w:rsid w:val="0031247A"/>
    <w:rsid w:val="00312F7A"/>
    <w:rsid w:val="00312FC2"/>
    <w:rsid w:val="00313025"/>
    <w:rsid w:val="0031323F"/>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07"/>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3EF3"/>
    <w:rsid w:val="00344383"/>
    <w:rsid w:val="003443AA"/>
    <w:rsid w:val="003448B5"/>
    <w:rsid w:val="003453BC"/>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5D6"/>
    <w:rsid w:val="00362B27"/>
    <w:rsid w:val="00362B8F"/>
    <w:rsid w:val="00363261"/>
    <w:rsid w:val="00363AE3"/>
    <w:rsid w:val="003643EF"/>
    <w:rsid w:val="00364561"/>
    <w:rsid w:val="0036475F"/>
    <w:rsid w:val="00364884"/>
    <w:rsid w:val="00364C80"/>
    <w:rsid w:val="0036523B"/>
    <w:rsid w:val="003652D6"/>
    <w:rsid w:val="00365564"/>
    <w:rsid w:val="00365644"/>
    <w:rsid w:val="00365D1E"/>
    <w:rsid w:val="0036663A"/>
    <w:rsid w:val="003666E3"/>
    <w:rsid w:val="00366B0C"/>
    <w:rsid w:val="00366E72"/>
    <w:rsid w:val="00366EBA"/>
    <w:rsid w:val="003673C1"/>
    <w:rsid w:val="00367452"/>
    <w:rsid w:val="003676AF"/>
    <w:rsid w:val="00367966"/>
    <w:rsid w:val="00367AD8"/>
    <w:rsid w:val="00367E44"/>
    <w:rsid w:val="00367E70"/>
    <w:rsid w:val="00367F30"/>
    <w:rsid w:val="0037044E"/>
    <w:rsid w:val="00370842"/>
    <w:rsid w:val="003708E2"/>
    <w:rsid w:val="00370B4F"/>
    <w:rsid w:val="00371277"/>
    <w:rsid w:val="003713EA"/>
    <w:rsid w:val="00371733"/>
    <w:rsid w:val="00371866"/>
    <w:rsid w:val="00371954"/>
    <w:rsid w:val="00371AD0"/>
    <w:rsid w:val="003727C4"/>
    <w:rsid w:val="00372ECC"/>
    <w:rsid w:val="00373181"/>
    <w:rsid w:val="00373B79"/>
    <w:rsid w:val="00373DE6"/>
    <w:rsid w:val="00373E66"/>
    <w:rsid w:val="003749CF"/>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1E6"/>
    <w:rsid w:val="003917E7"/>
    <w:rsid w:val="00391F1F"/>
    <w:rsid w:val="0039224D"/>
    <w:rsid w:val="0039244A"/>
    <w:rsid w:val="00393419"/>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2C1"/>
    <w:rsid w:val="003B18C3"/>
    <w:rsid w:val="003B1AB3"/>
    <w:rsid w:val="003B1ED2"/>
    <w:rsid w:val="003B251C"/>
    <w:rsid w:val="003B26F1"/>
    <w:rsid w:val="003B2FDE"/>
    <w:rsid w:val="003B3077"/>
    <w:rsid w:val="003B31C7"/>
    <w:rsid w:val="003B34D7"/>
    <w:rsid w:val="003B3C8D"/>
    <w:rsid w:val="003B42A8"/>
    <w:rsid w:val="003B4489"/>
    <w:rsid w:val="003B44BB"/>
    <w:rsid w:val="003B469C"/>
    <w:rsid w:val="003B47D9"/>
    <w:rsid w:val="003B487E"/>
    <w:rsid w:val="003B56A2"/>
    <w:rsid w:val="003B5B17"/>
    <w:rsid w:val="003B5FF4"/>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B1D"/>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2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AF"/>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92"/>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584"/>
    <w:rsid w:val="00423612"/>
    <w:rsid w:val="00424446"/>
    <w:rsid w:val="004245FA"/>
    <w:rsid w:val="004246FE"/>
    <w:rsid w:val="00424704"/>
    <w:rsid w:val="00424ABA"/>
    <w:rsid w:val="00424AC0"/>
    <w:rsid w:val="00424D2C"/>
    <w:rsid w:val="00424E3C"/>
    <w:rsid w:val="00424FB5"/>
    <w:rsid w:val="00425AC3"/>
    <w:rsid w:val="004268B0"/>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37BDD"/>
    <w:rsid w:val="00440391"/>
    <w:rsid w:val="00440E3D"/>
    <w:rsid w:val="004411FC"/>
    <w:rsid w:val="0044126B"/>
    <w:rsid w:val="00441311"/>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3EBC"/>
    <w:rsid w:val="00454738"/>
    <w:rsid w:val="004548A4"/>
    <w:rsid w:val="00454B1E"/>
    <w:rsid w:val="00455292"/>
    <w:rsid w:val="004552AF"/>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57DD1"/>
    <w:rsid w:val="00460357"/>
    <w:rsid w:val="0046085C"/>
    <w:rsid w:val="004609B5"/>
    <w:rsid w:val="004610B1"/>
    <w:rsid w:val="004612F3"/>
    <w:rsid w:val="004618C1"/>
    <w:rsid w:val="00461998"/>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3DD"/>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5C0"/>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3EE2"/>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94A"/>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5DAA"/>
    <w:rsid w:val="005063A9"/>
    <w:rsid w:val="00506502"/>
    <w:rsid w:val="00506693"/>
    <w:rsid w:val="00506720"/>
    <w:rsid w:val="00506A52"/>
    <w:rsid w:val="00506A7A"/>
    <w:rsid w:val="0050710C"/>
    <w:rsid w:val="005078FC"/>
    <w:rsid w:val="005102EA"/>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210"/>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3D4"/>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03"/>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4D5"/>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B24"/>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33D"/>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4CF3"/>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4ECE"/>
    <w:rsid w:val="005E5183"/>
    <w:rsid w:val="005E592C"/>
    <w:rsid w:val="005E5BC3"/>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05E"/>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785"/>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20B"/>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04C"/>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5CA"/>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56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265"/>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7D"/>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2E4F"/>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1C84"/>
    <w:rsid w:val="00712447"/>
    <w:rsid w:val="00712525"/>
    <w:rsid w:val="00712F0B"/>
    <w:rsid w:val="007134AE"/>
    <w:rsid w:val="0071388B"/>
    <w:rsid w:val="0071391C"/>
    <w:rsid w:val="00713B89"/>
    <w:rsid w:val="00713C8A"/>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07B"/>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4D1B"/>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9F8"/>
    <w:rsid w:val="00781C3F"/>
    <w:rsid w:val="00781F57"/>
    <w:rsid w:val="00782035"/>
    <w:rsid w:val="007820B6"/>
    <w:rsid w:val="007825F9"/>
    <w:rsid w:val="007825FD"/>
    <w:rsid w:val="007827E4"/>
    <w:rsid w:val="00782BFD"/>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682E"/>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9E4"/>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0FC8"/>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0B"/>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C4D"/>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8A7"/>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80"/>
    <w:rsid w:val="008B3692"/>
    <w:rsid w:val="008B3834"/>
    <w:rsid w:val="008B3937"/>
    <w:rsid w:val="008B43B8"/>
    <w:rsid w:val="008B4922"/>
    <w:rsid w:val="008B4D73"/>
    <w:rsid w:val="008B5ABD"/>
    <w:rsid w:val="008B5CB8"/>
    <w:rsid w:val="008B6800"/>
    <w:rsid w:val="008B68E6"/>
    <w:rsid w:val="008B6A5D"/>
    <w:rsid w:val="008B7196"/>
    <w:rsid w:val="008B754C"/>
    <w:rsid w:val="008C016C"/>
    <w:rsid w:val="008C0AB4"/>
    <w:rsid w:val="008C14B5"/>
    <w:rsid w:val="008C1C64"/>
    <w:rsid w:val="008C2099"/>
    <w:rsid w:val="008C21E6"/>
    <w:rsid w:val="008C2233"/>
    <w:rsid w:val="008C242B"/>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6ABB"/>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28"/>
    <w:rsid w:val="008E466A"/>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00"/>
    <w:rsid w:val="008F1776"/>
    <w:rsid w:val="008F1809"/>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1AD"/>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B3"/>
    <w:rsid w:val="009113FB"/>
    <w:rsid w:val="009118BC"/>
    <w:rsid w:val="009118E5"/>
    <w:rsid w:val="00911B40"/>
    <w:rsid w:val="00912077"/>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C55"/>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363F4"/>
    <w:rsid w:val="0093695D"/>
    <w:rsid w:val="00940514"/>
    <w:rsid w:val="00940654"/>
    <w:rsid w:val="00940C9D"/>
    <w:rsid w:val="00941700"/>
    <w:rsid w:val="00941848"/>
    <w:rsid w:val="00941D99"/>
    <w:rsid w:val="0094248D"/>
    <w:rsid w:val="009429A7"/>
    <w:rsid w:val="00942ADB"/>
    <w:rsid w:val="00943657"/>
    <w:rsid w:val="00943B9E"/>
    <w:rsid w:val="00943DD6"/>
    <w:rsid w:val="009442DC"/>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1041"/>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4ACF"/>
    <w:rsid w:val="0095529B"/>
    <w:rsid w:val="0095576B"/>
    <w:rsid w:val="00955D25"/>
    <w:rsid w:val="009563A8"/>
    <w:rsid w:val="00956D63"/>
    <w:rsid w:val="009572DB"/>
    <w:rsid w:val="00957F54"/>
    <w:rsid w:val="009602B4"/>
    <w:rsid w:val="0096043B"/>
    <w:rsid w:val="009604EB"/>
    <w:rsid w:val="00960857"/>
    <w:rsid w:val="00960947"/>
    <w:rsid w:val="00960D26"/>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0FE5"/>
    <w:rsid w:val="009711F5"/>
    <w:rsid w:val="009716F0"/>
    <w:rsid w:val="009721C8"/>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4D6F"/>
    <w:rsid w:val="00985053"/>
    <w:rsid w:val="00985085"/>
    <w:rsid w:val="009851A1"/>
    <w:rsid w:val="00985319"/>
    <w:rsid w:val="00985754"/>
    <w:rsid w:val="00985A95"/>
    <w:rsid w:val="00985BA0"/>
    <w:rsid w:val="00985C59"/>
    <w:rsid w:val="00985DA2"/>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28"/>
    <w:rsid w:val="009B77D4"/>
    <w:rsid w:val="009B7946"/>
    <w:rsid w:val="009C0161"/>
    <w:rsid w:val="009C0229"/>
    <w:rsid w:val="009C022C"/>
    <w:rsid w:val="009C02D2"/>
    <w:rsid w:val="009C0580"/>
    <w:rsid w:val="009C0783"/>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951"/>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9A7"/>
    <w:rsid w:val="009E3C66"/>
    <w:rsid w:val="009E3E50"/>
    <w:rsid w:val="009E3E74"/>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897"/>
    <w:rsid w:val="00A45AA5"/>
    <w:rsid w:val="00A45C86"/>
    <w:rsid w:val="00A45FE0"/>
    <w:rsid w:val="00A462CB"/>
    <w:rsid w:val="00A466C2"/>
    <w:rsid w:val="00A46E7F"/>
    <w:rsid w:val="00A479A8"/>
    <w:rsid w:val="00A47E70"/>
    <w:rsid w:val="00A50356"/>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20"/>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19E"/>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4B6"/>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32B"/>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627"/>
    <w:rsid w:val="00AC7743"/>
    <w:rsid w:val="00AC7C2F"/>
    <w:rsid w:val="00AC7D36"/>
    <w:rsid w:val="00AD0048"/>
    <w:rsid w:val="00AD033A"/>
    <w:rsid w:val="00AD08DE"/>
    <w:rsid w:val="00AD0E8F"/>
    <w:rsid w:val="00AD0F56"/>
    <w:rsid w:val="00AD1507"/>
    <w:rsid w:val="00AD29BD"/>
    <w:rsid w:val="00AD2A5D"/>
    <w:rsid w:val="00AD314A"/>
    <w:rsid w:val="00AD3B68"/>
    <w:rsid w:val="00AD3E38"/>
    <w:rsid w:val="00AD429D"/>
    <w:rsid w:val="00AD48A4"/>
    <w:rsid w:val="00AD4CB3"/>
    <w:rsid w:val="00AD4D87"/>
    <w:rsid w:val="00AD5BEA"/>
    <w:rsid w:val="00AD5FC9"/>
    <w:rsid w:val="00AD6BB6"/>
    <w:rsid w:val="00AD6C3C"/>
    <w:rsid w:val="00AD6EF8"/>
    <w:rsid w:val="00AD75A0"/>
    <w:rsid w:val="00AD75C0"/>
    <w:rsid w:val="00AD766C"/>
    <w:rsid w:val="00AE0695"/>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D1"/>
    <w:rsid w:val="00AF15E5"/>
    <w:rsid w:val="00AF1A08"/>
    <w:rsid w:val="00AF1BF0"/>
    <w:rsid w:val="00AF24EC"/>
    <w:rsid w:val="00AF2893"/>
    <w:rsid w:val="00AF2A87"/>
    <w:rsid w:val="00AF2CAF"/>
    <w:rsid w:val="00AF3166"/>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6C64"/>
    <w:rsid w:val="00B07776"/>
    <w:rsid w:val="00B07D83"/>
    <w:rsid w:val="00B07DDD"/>
    <w:rsid w:val="00B100E8"/>
    <w:rsid w:val="00B10438"/>
    <w:rsid w:val="00B10E35"/>
    <w:rsid w:val="00B110CA"/>
    <w:rsid w:val="00B115CA"/>
    <w:rsid w:val="00B120FE"/>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30A"/>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BBC"/>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594"/>
    <w:rsid w:val="00B63988"/>
    <w:rsid w:val="00B63B22"/>
    <w:rsid w:val="00B63E8A"/>
    <w:rsid w:val="00B640FD"/>
    <w:rsid w:val="00B645F8"/>
    <w:rsid w:val="00B64CE0"/>
    <w:rsid w:val="00B64E10"/>
    <w:rsid w:val="00B64F60"/>
    <w:rsid w:val="00B64F74"/>
    <w:rsid w:val="00B64FFD"/>
    <w:rsid w:val="00B65222"/>
    <w:rsid w:val="00B652E1"/>
    <w:rsid w:val="00B654CF"/>
    <w:rsid w:val="00B65F80"/>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77F7D"/>
    <w:rsid w:val="00B80574"/>
    <w:rsid w:val="00B807CC"/>
    <w:rsid w:val="00B809C8"/>
    <w:rsid w:val="00B80E56"/>
    <w:rsid w:val="00B8184F"/>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761"/>
    <w:rsid w:val="00B92E76"/>
    <w:rsid w:val="00B931BF"/>
    <w:rsid w:val="00B935A5"/>
    <w:rsid w:val="00B93899"/>
    <w:rsid w:val="00B93B5F"/>
    <w:rsid w:val="00B940B4"/>
    <w:rsid w:val="00B940C5"/>
    <w:rsid w:val="00B94220"/>
    <w:rsid w:val="00B946FC"/>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479"/>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0BF"/>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8D0"/>
    <w:rsid w:val="00BE2964"/>
    <w:rsid w:val="00BE2B2A"/>
    <w:rsid w:val="00BE2D9D"/>
    <w:rsid w:val="00BE318E"/>
    <w:rsid w:val="00BE31CD"/>
    <w:rsid w:val="00BE32C6"/>
    <w:rsid w:val="00BE3627"/>
    <w:rsid w:val="00BE37EF"/>
    <w:rsid w:val="00BE4135"/>
    <w:rsid w:val="00BE42E9"/>
    <w:rsid w:val="00BE45F9"/>
    <w:rsid w:val="00BE4DCB"/>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99B"/>
    <w:rsid w:val="00C03DB9"/>
    <w:rsid w:val="00C03DE5"/>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3E5A"/>
    <w:rsid w:val="00C33F51"/>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47B85"/>
    <w:rsid w:val="00C5009D"/>
    <w:rsid w:val="00C5068D"/>
    <w:rsid w:val="00C50BEF"/>
    <w:rsid w:val="00C50CA3"/>
    <w:rsid w:val="00C50DC2"/>
    <w:rsid w:val="00C51193"/>
    <w:rsid w:val="00C512C8"/>
    <w:rsid w:val="00C51D5B"/>
    <w:rsid w:val="00C5321E"/>
    <w:rsid w:val="00C54246"/>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29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5FCD"/>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5EF"/>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306"/>
    <w:rsid w:val="00CF2558"/>
    <w:rsid w:val="00CF272F"/>
    <w:rsid w:val="00CF2835"/>
    <w:rsid w:val="00CF30AA"/>
    <w:rsid w:val="00CF30C1"/>
    <w:rsid w:val="00CF3159"/>
    <w:rsid w:val="00CF3266"/>
    <w:rsid w:val="00CF38A5"/>
    <w:rsid w:val="00CF3C25"/>
    <w:rsid w:val="00CF4276"/>
    <w:rsid w:val="00CF4B41"/>
    <w:rsid w:val="00CF53BE"/>
    <w:rsid w:val="00CF5593"/>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1682"/>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30A"/>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7C1"/>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5C45"/>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CDD"/>
    <w:rsid w:val="00D96F29"/>
    <w:rsid w:val="00D9742F"/>
    <w:rsid w:val="00D97A3B"/>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054"/>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8C7"/>
    <w:rsid w:val="00DB3AB9"/>
    <w:rsid w:val="00DB3DC7"/>
    <w:rsid w:val="00DB3E45"/>
    <w:rsid w:val="00DB43B0"/>
    <w:rsid w:val="00DB596B"/>
    <w:rsid w:val="00DB5DFD"/>
    <w:rsid w:val="00DB5E37"/>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28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B47"/>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4A9B"/>
    <w:rsid w:val="00E7536B"/>
    <w:rsid w:val="00E7564A"/>
    <w:rsid w:val="00E75736"/>
    <w:rsid w:val="00E75D93"/>
    <w:rsid w:val="00E765F9"/>
    <w:rsid w:val="00E76F7C"/>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0FD"/>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C9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330"/>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6FAB"/>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7F7"/>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560"/>
    <w:rsid w:val="00F44B0A"/>
    <w:rsid w:val="00F44CF0"/>
    <w:rsid w:val="00F44F52"/>
    <w:rsid w:val="00F45319"/>
    <w:rsid w:val="00F45882"/>
    <w:rsid w:val="00F45EBD"/>
    <w:rsid w:val="00F45FF2"/>
    <w:rsid w:val="00F46028"/>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3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CAD"/>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5A57"/>
    <w:rsid w:val="00F865E8"/>
    <w:rsid w:val="00F86FBF"/>
    <w:rsid w:val="00F877C8"/>
    <w:rsid w:val="00F90F0E"/>
    <w:rsid w:val="00F910D9"/>
    <w:rsid w:val="00F91540"/>
    <w:rsid w:val="00F91766"/>
    <w:rsid w:val="00F9187C"/>
    <w:rsid w:val="00F9188D"/>
    <w:rsid w:val="00F91A9F"/>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0C92"/>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0B"/>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0B28"/>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paragraph" w:customStyle="1" w:styleId="NumberedList">
    <w:name w:val="Numbered List"/>
    <w:basedOn w:val="Normal"/>
    <w:rsid w:val="003453BC"/>
    <w:pPr>
      <w:numPr>
        <w:numId w:val="33"/>
      </w:numPr>
      <w:spacing w:after="0"/>
      <w:jc w:val="both"/>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2017-08-11T12:33:00Z</dcterms:created>
  <dcterms:modified xsi:type="dcterms:W3CDTF">2017-08-11T12:33:00Z</dcterms:modified>
</cp:coreProperties>
</file>